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152A" w14:textId="77777777" w:rsidR="00553851" w:rsidRDefault="00553851">
      <w:pPr>
        <w:jc w:val="both"/>
        <w:rPr>
          <w:rFonts w:ascii="Century" w:hAnsi="Century"/>
          <w:color w:val="2B579A"/>
          <w:shd w:val="clear" w:color="auto" w:fill="E6E6E6"/>
        </w:rPr>
      </w:pPr>
    </w:p>
    <w:p w14:paraId="4DD29CA9" w14:textId="77777777" w:rsidR="00553851" w:rsidRDefault="006917A9">
      <w:pPr>
        <w:jc w:val="center"/>
        <w:rPr>
          <w:rFonts w:ascii="Century" w:hAnsi="Century"/>
          <w:b/>
          <w:spacing w:val="10"/>
          <w:sz w:val="28"/>
          <w:szCs w:val="28"/>
        </w:rPr>
      </w:pPr>
      <w:r>
        <w:rPr>
          <w:rFonts w:ascii="Century" w:hAnsi="Century"/>
          <w:b/>
          <w:spacing w:val="10"/>
          <w:sz w:val="28"/>
          <w:szCs w:val="28"/>
        </w:rPr>
        <w:t>Terms of Reference</w:t>
      </w:r>
      <w:r>
        <w:rPr>
          <w:rFonts w:ascii="Century" w:hAnsi="Century"/>
          <w:b/>
          <w:spacing w:val="10"/>
          <w:sz w:val="28"/>
          <w:szCs w:val="28"/>
        </w:rPr>
        <w:t>:</w:t>
      </w:r>
    </w:p>
    <w:p w14:paraId="23D0E646" w14:textId="77777777" w:rsidR="00553851" w:rsidRDefault="006917A9">
      <w:pPr>
        <w:jc w:val="center"/>
        <w:rPr>
          <w:rFonts w:ascii="Century" w:hAnsi="Century"/>
          <w:b/>
          <w:bCs/>
          <w:spacing w:val="10"/>
          <w:sz w:val="22"/>
          <w:szCs w:val="22"/>
        </w:rPr>
      </w:pPr>
      <w:r>
        <w:rPr>
          <w:rFonts w:ascii="Century" w:hAnsi="Century"/>
          <w:b/>
          <w:bCs/>
          <w:sz w:val="28"/>
          <w:szCs w:val="28"/>
        </w:rPr>
        <w:t xml:space="preserve"> Leadership Curriculum Development Consultants</w:t>
      </w:r>
      <w:r>
        <w:rPr>
          <w:rFonts w:ascii="Century" w:hAnsi="Century"/>
          <w:b/>
          <w:bCs/>
        </w:rPr>
        <w:t xml:space="preserve"> </w:t>
      </w:r>
    </w:p>
    <w:p w14:paraId="201EDC5B" w14:textId="77777777" w:rsidR="00553851" w:rsidRDefault="00553851">
      <w:pPr>
        <w:jc w:val="center"/>
        <w:rPr>
          <w:rFonts w:ascii="Century" w:hAnsi="Century"/>
          <w:b/>
          <w:bCs/>
          <w:spacing w:val="10"/>
          <w:sz w:val="22"/>
          <w:szCs w:val="22"/>
        </w:rPr>
      </w:pPr>
    </w:p>
    <w:tbl>
      <w:tblPr>
        <w:tblW w:w="9343" w:type="dxa"/>
        <w:tblInd w:w="-100" w:type="dxa"/>
        <w:tblLook w:val="04A0" w:firstRow="1" w:lastRow="0" w:firstColumn="1" w:lastColumn="0" w:noHBand="0" w:noVBand="1"/>
      </w:tblPr>
      <w:tblGrid>
        <w:gridCol w:w="3287"/>
        <w:gridCol w:w="6056"/>
      </w:tblGrid>
      <w:tr w:rsidR="00553851" w14:paraId="021A4811" w14:textId="77777777">
        <w:trPr>
          <w:trHeight w:val="295"/>
        </w:trPr>
        <w:tc>
          <w:tcPr>
            <w:tcW w:w="9343" w:type="dxa"/>
            <w:gridSpan w:val="2"/>
            <w:tcBorders>
              <w:top w:val="single" w:sz="8" w:space="0" w:color="auto"/>
              <w:left w:val="single" w:sz="8" w:space="0" w:color="auto"/>
              <w:bottom w:val="single" w:sz="8" w:space="0" w:color="auto"/>
              <w:right w:val="single" w:sz="8" w:space="0" w:color="000000" w:themeColor="text1"/>
            </w:tcBorders>
            <w:shd w:val="clear" w:color="auto" w:fill="A9D08E"/>
            <w:vAlign w:val="center"/>
          </w:tcPr>
          <w:p w14:paraId="5AF84920" w14:textId="77777777" w:rsidR="00553851" w:rsidRDefault="006917A9">
            <w:pPr>
              <w:rPr>
                <w:rFonts w:ascii="Century" w:hAnsi="Century" w:cs="Arial"/>
                <w:b/>
                <w:bCs/>
                <w:color w:val="000000"/>
              </w:rPr>
            </w:pPr>
            <w:r>
              <w:rPr>
                <w:rFonts w:ascii="Century" w:hAnsi="Century" w:cs="Arial"/>
                <w:b/>
                <w:bCs/>
              </w:rPr>
              <w:t xml:space="preserve">GENERAL INFORMATION </w:t>
            </w:r>
          </w:p>
        </w:tc>
      </w:tr>
      <w:tr w:rsidR="00553851" w14:paraId="7CB1DF04" w14:textId="77777777">
        <w:trPr>
          <w:trHeight w:val="205"/>
        </w:trPr>
        <w:tc>
          <w:tcPr>
            <w:tcW w:w="3287" w:type="dxa"/>
            <w:tcBorders>
              <w:top w:val="nil"/>
              <w:left w:val="single" w:sz="8" w:space="0" w:color="auto"/>
              <w:bottom w:val="single" w:sz="8" w:space="0" w:color="auto"/>
              <w:right w:val="single" w:sz="8" w:space="0" w:color="auto"/>
            </w:tcBorders>
            <w:shd w:val="clear" w:color="auto" w:fill="auto"/>
            <w:vAlign w:val="center"/>
          </w:tcPr>
          <w:p w14:paraId="454B55D2" w14:textId="77777777" w:rsidR="00553851" w:rsidRDefault="006917A9">
            <w:pPr>
              <w:rPr>
                <w:rFonts w:ascii="Century" w:hAnsi="Century" w:cs="Arial"/>
                <w:b/>
                <w:bCs/>
                <w:color w:val="000000"/>
              </w:rPr>
            </w:pPr>
            <w:r>
              <w:rPr>
                <w:rFonts w:ascii="Century" w:hAnsi="Century" w:cs="Arial"/>
                <w:b/>
                <w:bCs/>
                <w:color w:val="000000"/>
              </w:rPr>
              <w:t>Project/Program Title:</w:t>
            </w:r>
          </w:p>
        </w:tc>
        <w:tc>
          <w:tcPr>
            <w:tcW w:w="6056" w:type="dxa"/>
            <w:tcBorders>
              <w:top w:val="nil"/>
              <w:left w:val="nil"/>
              <w:bottom w:val="single" w:sz="8" w:space="0" w:color="auto"/>
              <w:right w:val="single" w:sz="8" w:space="0" w:color="auto"/>
            </w:tcBorders>
            <w:shd w:val="clear" w:color="auto" w:fill="auto"/>
            <w:vAlign w:val="center"/>
          </w:tcPr>
          <w:p w14:paraId="7628221E" w14:textId="77777777" w:rsidR="00553851" w:rsidRDefault="006917A9">
            <w:pPr>
              <w:rPr>
                <w:rFonts w:ascii="Century" w:hAnsi="Century" w:cs="Arial"/>
                <w:color w:val="000000"/>
              </w:rPr>
            </w:pPr>
            <w:r>
              <w:rPr>
                <w:rFonts w:ascii="Century" w:hAnsi="Century" w:cs="Arial"/>
                <w:color w:val="000000"/>
              </w:rPr>
              <w:t>ILA</w:t>
            </w:r>
            <w:r>
              <w:rPr>
                <w:rFonts w:ascii="Century" w:hAnsi="Century" w:cs="Arial"/>
                <w:color w:val="000000"/>
              </w:rPr>
              <w:t xml:space="preserve"> Curriculum Development</w:t>
            </w:r>
          </w:p>
        </w:tc>
      </w:tr>
      <w:tr w:rsidR="00553851" w14:paraId="40CD3CC7" w14:textId="77777777">
        <w:trPr>
          <w:trHeight w:val="358"/>
        </w:trPr>
        <w:tc>
          <w:tcPr>
            <w:tcW w:w="3287" w:type="dxa"/>
            <w:tcBorders>
              <w:top w:val="nil"/>
              <w:left w:val="single" w:sz="8" w:space="0" w:color="auto"/>
              <w:bottom w:val="single" w:sz="8" w:space="0" w:color="auto"/>
              <w:right w:val="single" w:sz="8" w:space="0" w:color="auto"/>
            </w:tcBorders>
            <w:shd w:val="clear" w:color="auto" w:fill="auto"/>
            <w:vAlign w:val="center"/>
          </w:tcPr>
          <w:p w14:paraId="4EC5A20D" w14:textId="77777777" w:rsidR="00553851" w:rsidRDefault="006917A9">
            <w:pPr>
              <w:rPr>
                <w:rFonts w:ascii="Century" w:hAnsi="Century" w:cs="Arial"/>
                <w:b/>
                <w:bCs/>
                <w:color w:val="000000"/>
              </w:rPr>
            </w:pPr>
            <w:r>
              <w:rPr>
                <w:rFonts w:ascii="Century" w:hAnsi="Century" w:cs="Arial"/>
                <w:b/>
                <w:bCs/>
                <w:color w:val="000000"/>
              </w:rPr>
              <w:t>Post Title:</w:t>
            </w:r>
          </w:p>
        </w:tc>
        <w:tc>
          <w:tcPr>
            <w:tcW w:w="6056" w:type="dxa"/>
            <w:tcBorders>
              <w:top w:val="nil"/>
              <w:left w:val="nil"/>
              <w:bottom w:val="single" w:sz="8" w:space="0" w:color="auto"/>
              <w:right w:val="single" w:sz="8" w:space="0" w:color="auto"/>
            </w:tcBorders>
            <w:shd w:val="clear" w:color="auto" w:fill="auto"/>
            <w:vAlign w:val="center"/>
          </w:tcPr>
          <w:p w14:paraId="0EE6A178" w14:textId="77777777" w:rsidR="00553851" w:rsidRDefault="006917A9">
            <w:pPr>
              <w:pStyle w:val="NoSpacing"/>
              <w:rPr>
                <w:rFonts w:ascii="Century" w:hAnsi="Century" w:cs="Arial"/>
                <w:b/>
                <w:bCs/>
                <w:color w:val="000000"/>
              </w:rPr>
            </w:pPr>
            <w:r>
              <w:rPr>
                <w:rFonts w:ascii="Century" w:hAnsi="Century"/>
              </w:rPr>
              <w:t>Leadership Curriculum Development Consultant</w:t>
            </w:r>
            <w:r>
              <w:rPr>
                <w:rFonts w:ascii="Century" w:hAnsi="Century"/>
              </w:rPr>
              <w:t>s</w:t>
            </w:r>
          </w:p>
        </w:tc>
      </w:tr>
      <w:tr w:rsidR="00553851" w14:paraId="6EED052B" w14:textId="77777777">
        <w:trPr>
          <w:trHeight w:val="178"/>
        </w:trPr>
        <w:tc>
          <w:tcPr>
            <w:tcW w:w="3287" w:type="dxa"/>
            <w:tcBorders>
              <w:top w:val="nil"/>
              <w:left w:val="single" w:sz="8" w:space="0" w:color="auto"/>
              <w:bottom w:val="single" w:sz="8" w:space="0" w:color="auto"/>
              <w:right w:val="single" w:sz="8" w:space="0" w:color="auto"/>
            </w:tcBorders>
            <w:shd w:val="clear" w:color="auto" w:fill="auto"/>
            <w:vAlign w:val="center"/>
          </w:tcPr>
          <w:p w14:paraId="1CA18360" w14:textId="77777777" w:rsidR="00553851" w:rsidRDefault="006917A9">
            <w:pPr>
              <w:rPr>
                <w:rFonts w:ascii="Century" w:hAnsi="Century" w:cs="Arial"/>
                <w:b/>
                <w:bCs/>
                <w:color w:val="000000"/>
              </w:rPr>
            </w:pPr>
            <w:r>
              <w:rPr>
                <w:rFonts w:ascii="Century" w:hAnsi="Century" w:cs="Arial"/>
                <w:b/>
                <w:bCs/>
                <w:color w:val="000000"/>
              </w:rPr>
              <w:t>Duty Station:</w:t>
            </w:r>
          </w:p>
        </w:tc>
        <w:tc>
          <w:tcPr>
            <w:tcW w:w="6056" w:type="dxa"/>
            <w:tcBorders>
              <w:top w:val="nil"/>
              <w:left w:val="nil"/>
              <w:bottom w:val="single" w:sz="8" w:space="0" w:color="auto"/>
              <w:right w:val="single" w:sz="8" w:space="0" w:color="auto"/>
            </w:tcBorders>
            <w:shd w:val="clear" w:color="auto" w:fill="auto"/>
            <w:vAlign w:val="center"/>
          </w:tcPr>
          <w:p w14:paraId="7B39AE9F" w14:textId="77777777" w:rsidR="00553851" w:rsidRDefault="006917A9">
            <w:pPr>
              <w:rPr>
                <w:rFonts w:ascii="Century" w:hAnsi="Century" w:cs="Arial"/>
                <w:color w:val="000000"/>
              </w:rPr>
            </w:pPr>
            <w:r>
              <w:rPr>
                <w:rFonts w:ascii="Century" w:hAnsi="Century" w:cs="Arial"/>
                <w:color w:val="000000"/>
              </w:rPr>
              <w:t xml:space="preserve">Home based with travel </w:t>
            </w:r>
          </w:p>
        </w:tc>
      </w:tr>
      <w:tr w:rsidR="00553851" w14:paraId="1661A236" w14:textId="77777777">
        <w:trPr>
          <w:trHeight w:val="178"/>
        </w:trPr>
        <w:tc>
          <w:tcPr>
            <w:tcW w:w="3287" w:type="dxa"/>
            <w:tcBorders>
              <w:top w:val="nil"/>
              <w:left w:val="single" w:sz="8" w:space="0" w:color="auto"/>
              <w:bottom w:val="single" w:sz="8" w:space="0" w:color="auto"/>
              <w:right w:val="single" w:sz="8" w:space="0" w:color="auto"/>
            </w:tcBorders>
            <w:shd w:val="clear" w:color="auto" w:fill="auto"/>
            <w:vAlign w:val="center"/>
          </w:tcPr>
          <w:p w14:paraId="15EC22C2" w14:textId="77777777" w:rsidR="00553851" w:rsidRDefault="006917A9">
            <w:pPr>
              <w:rPr>
                <w:rFonts w:ascii="Century" w:hAnsi="Century" w:cs="Arial"/>
                <w:b/>
                <w:bCs/>
                <w:color w:val="000000"/>
              </w:rPr>
            </w:pPr>
            <w:r>
              <w:rPr>
                <w:rFonts w:ascii="Century" w:hAnsi="Century" w:cs="Arial"/>
                <w:b/>
                <w:bCs/>
                <w:color w:val="000000"/>
              </w:rPr>
              <w:t xml:space="preserve">Number of Experts needed </w:t>
            </w:r>
          </w:p>
        </w:tc>
        <w:tc>
          <w:tcPr>
            <w:tcW w:w="6056" w:type="dxa"/>
            <w:tcBorders>
              <w:top w:val="nil"/>
              <w:left w:val="nil"/>
              <w:bottom w:val="single" w:sz="8" w:space="0" w:color="auto"/>
              <w:right w:val="single" w:sz="8" w:space="0" w:color="auto"/>
            </w:tcBorders>
            <w:shd w:val="clear" w:color="auto" w:fill="auto"/>
            <w:vAlign w:val="center"/>
          </w:tcPr>
          <w:p w14:paraId="1EFE21C1" w14:textId="77777777" w:rsidR="00553851" w:rsidRDefault="006917A9">
            <w:pPr>
              <w:rPr>
                <w:rFonts w:ascii="Century" w:hAnsi="Century" w:cs="Arial"/>
                <w:color w:val="000000"/>
              </w:rPr>
            </w:pPr>
            <w:r>
              <w:rPr>
                <w:rFonts w:ascii="Century" w:hAnsi="Century" w:cs="Arial"/>
                <w:color w:val="000000"/>
              </w:rPr>
              <w:t xml:space="preserve">Three (3) </w:t>
            </w:r>
          </w:p>
        </w:tc>
      </w:tr>
      <w:tr w:rsidR="00553851" w14:paraId="243BC1C2" w14:textId="77777777">
        <w:trPr>
          <w:trHeight w:val="250"/>
        </w:trPr>
        <w:tc>
          <w:tcPr>
            <w:tcW w:w="3287" w:type="dxa"/>
            <w:tcBorders>
              <w:top w:val="nil"/>
              <w:left w:val="single" w:sz="8" w:space="0" w:color="auto"/>
              <w:bottom w:val="single" w:sz="8" w:space="0" w:color="auto"/>
              <w:right w:val="single" w:sz="8" w:space="0" w:color="auto"/>
            </w:tcBorders>
            <w:shd w:val="clear" w:color="auto" w:fill="auto"/>
            <w:vAlign w:val="center"/>
          </w:tcPr>
          <w:p w14:paraId="3A98B4D4" w14:textId="77777777" w:rsidR="00553851" w:rsidRDefault="006917A9">
            <w:pPr>
              <w:rPr>
                <w:rFonts w:ascii="Century" w:hAnsi="Century" w:cs="Arial"/>
                <w:b/>
                <w:bCs/>
                <w:color w:val="000000"/>
              </w:rPr>
            </w:pPr>
            <w:r>
              <w:rPr>
                <w:rFonts w:ascii="Century" w:hAnsi="Century" w:cs="Arial"/>
                <w:b/>
                <w:bCs/>
                <w:color w:val="000000"/>
              </w:rPr>
              <w:t>Duration:</w:t>
            </w:r>
          </w:p>
        </w:tc>
        <w:tc>
          <w:tcPr>
            <w:tcW w:w="6056" w:type="dxa"/>
            <w:tcBorders>
              <w:top w:val="nil"/>
              <w:left w:val="nil"/>
              <w:bottom w:val="single" w:sz="8" w:space="0" w:color="auto"/>
              <w:right w:val="single" w:sz="8" w:space="0" w:color="auto"/>
            </w:tcBorders>
            <w:shd w:val="clear" w:color="auto" w:fill="auto"/>
            <w:vAlign w:val="center"/>
          </w:tcPr>
          <w:p w14:paraId="0F5E003C" w14:textId="77777777" w:rsidR="00553851" w:rsidRDefault="006917A9">
            <w:pPr>
              <w:rPr>
                <w:rFonts w:ascii="Century" w:hAnsi="Century" w:cs="Arial"/>
                <w:color w:val="000000"/>
              </w:rPr>
            </w:pPr>
            <w:r>
              <w:rPr>
                <w:rFonts w:ascii="Century" w:hAnsi="Century" w:cs="Arial"/>
                <w:color w:val="000000"/>
              </w:rPr>
              <w:t xml:space="preserve">Three </w:t>
            </w:r>
            <w:r>
              <w:rPr>
                <w:rFonts w:ascii="Century" w:hAnsi="Century" w:cs="Arial"/>
                <w:color w:val="000000"/>
              </w:rPr>
              <w:t xml:space="preserve">(3) </w:t>
            </w:r>
            <w:r>
              <w:rPr>
                <w:rFonts w:ascii="Century" w:hAnsi="Century" w:cs="Arial"/>
                <w:color w:val="000000"/>
              </w:rPr>
              <w:t xml:space="preserve">Months   </w:t>
            </w:r>
          </w:p>
        </w:tc>
      </w:tr>
      <w:tr w:rsidR="00553851" w14:paraId="681D4E93" w14:textId="77777777">
        <w:trPr>
          <w:trHeight w:val="340"/>
        </w:trPr>
        <w:tc>
          <w:tcPr>
            <w:tcW w:w="3287" w:type="dxa"/>
            <w:tcBorders>
              <w:top w:val="nil"/>
              <w:left w:val="single" w:sz="8" w:space="0" w:color="auto"/>
              <w:bottom w:val="single" w:sz="8" w:space="0" w:color="auto"/>
              <w:right w:val="single" w:sz="8" w:space="0" w:color="auto"/>
            </w:tcBorders>
            <w:shd w:val="clear" w:color="auto" w:fill="auto"/>
            <w:vAlign w:val="center"/>
          </w:tcPr>
          <w:p w14:paraId="2384FFA7" w14:textId="77777777" w:rsidR="00553851" w:rsidRDefault="006917A9">
            <w:pPr>
              <w:rPr>
                <w:rFonts w:ascii="Century" w:hAnsi="Century" w:cs="Arial"/>
                <w:b/>
                <w:bCs/>
                <w:color w:val="000000"/>
              </w:rPr>
            </w:pPr>
            <w:r>
              <w:rPr>
                <w:rFonts w:ascii="Century" w:hAnsi="Century" w:cs="Arial"/>
                <w:b/>
                <w:bCs/>
                <w:color w:val="000000"/>
              </w:rPr>
              <w:t>Expected Start Date</w:t>
            </w:r>
          </w:p>
        </w:tc>
        <w:tc>
          <w:tcPr>
            <w:tcW w:w="6056" w:type="dxa"/>
            <w:tcBorders>
              <w:top w:val="nil"/>
              <w:left w:val="nil"/>
              <w:bottom w:val="single" w:sz="8" w:space="0" w:color="auto"/>
              <w:right w:val="single" w:sz="8" w:space="0" w:color="auto"/>
            </w:tcBorders>
            <w:shd w:val="clear" w:color="auto" w:fill="auto"/>
            <w:vAlign w:val="center"/>
          </w:tcPr>
          <w:p w14:paraId="40506AC8" w14:textId="77777777" w:rsidR="00553851" w:rsidRDefault="006917A9">
            <w:pPr>
              <w:rPr>
                <w:rFonts w:ascii="Century" w:hAnsi="Century" w:cs="Arial"/>
                <w:color w:val="000000"/>
              </w:rPr>
            </w:pPr>
            <w:r>
              <w:rPr>
                <w:rFonts w:ascii="Century" w:hAnsi="Century" w:cs="Arial"/>
                <w:color w:val="000000"/>
              </w:rPr>
              <w:t>November 2023</w:t>
            </w:r>
          </w:p>
        </w:tc>
      </w:tr>
      <w:tr w:rsidR="00553851" w14:paraId="5CE35A10" w14:textId="77777777">
        <w:trPr>
          <w:trHeight w:val="160"/>
        </w:trPr>
        <w:tc>
          <w:tcPr>
            <w:tcW w:w="3287" w:type="dxa"/>
            <w:tcBorders>
              <w:top w:val="nil"/>
              <w:left w:val="single" w:sz="8" w:space="0" w:color="auto"/>
              <w:bottom w:val="single" w:sz="8" w:space="0" w:color="auto"/>
              <w:right w:val="single" w:sz="8" w:space="0" w:color="auto"/>
            </w:tcBorders>
            <w:shd w:val="clear" w:color="auto" w:fill="auto"/>
            <w:vAlign w:val="center"/>
          </w:tcPr>
          <w:p w14:paraId="475C4806" w14:textId="77777777" w:rsidR="00553851" w:rsidRDefault="006917A9">
            <w:pPr>
              <w:rPr>
                <w:rFonts w:ascii="Century" w:hAnsi="Century" w:cs="Arial"/>
                <w:b/>
                <w:bCs/>
                <w:color w:val="000000"/>
              </w:rPr>
            </w:pPr>
            <w:r>
              <w:rPr>
                <w:rFonts w:ascii="Century" w:hAnsi="Century" w:cs="Arial"/>
                <w:b/>
                <w:bCs/>
                <w:color w:val="000000"/>
              </w:rPr>
              <w:t xml:space="preserve">Language </w:t>
            </w:r>
          </w:p>
        </w:tc>
        <w:tc>
          <w:tcPr>
            <w:tcW w:w="6056" w:type="dxa"/>
            <w:tcBorders>
              <w:top w:val="nil"/>
              <w:left w:val="nil"/>
              <w:bottom w:val="single" w:sz="8" w:space="0" w:color="auto"/>
              <w:right w:val="single" w:sz="8" w:space="0" w:color="auto"/>
            </w:tcBorders>
            <w:shd w:val="clear" w:color="auto" w:fill="auto"/>
            <w:vAlign w:val="center"/>
          </w:tcPr>
          <w:p w14:paraId="3A43FA3A" w14:textId="77777777" w:rsidR="00553851" w:rsidRDefault="006917A9">
            <w:pPr>
              <w:rPr>
                <w:rFonts w:ascii="Century" w:hAnsi="Century" w:cs="Arial"/>
                <w:color w:val="000000"/>
              </w:rPr>
            </w:pPr>
            <w:r>
              <w:rPr>
                <w:rFonts w:ascii="Century" w:hAnsi="Century" w:cs="Arial"/>
                <w:color w:val="000000"/>
              </w:rPr>
              <w:t xml:space="preserve">English </w:t>
            </w:r>
          </w:p>
        </w:tc>
      </w:tr>
    </w:tbl>
    <w:p w14:paraId="1902ED3C" w14:textId="77777777" w:rsidR="00553851" w:rsidRDefault="00553851">
      <w:pPr>
        <w:pStyle w:val="Heading2"/>
        <w:keepLines/>
        <w:spacing w:before="40"/>
        <w:rPr>
          <w:rFonts w:ascii="Century" w:hAnsi="Century"/>
          <w:b w:val="0"/>
          <w:bCs w:val="0"/>
          <w:sz w:val="22"/>
          <w:szCs w:val="22"/>
        </w:rPr>
      </w:pPr>
    </w:p>
    <w:tbl>
      <w:tblPr>
        <w:tblW w:w="934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553851" w14:paraId="49EB2C72" w14:textId="77777777">
        <w:trPr>
          <w:trHeight w:val="313"/>
        </w:trPr>
        <w:tc>
          <w:tcPr>
            <w:tcW w:w="9342" w:type="dxa"/>
            <w:shd w:val="clear" w:color="auto" w:fill="A9D08E"/>
            <w:vAlign w:val="center"/>
          </w:tcPr>
          <w:p w14:paraId="2053CCF9" w14:textId="77777777" w:rsidR="00553851" w:rsidRDefault="006917A9">
            <w:pPr>
              <w:rPr>
                <w:rFonts w:ascii="Century" w:hAnsi="Century" w:cs="Arial"/>
                <w:b/>
                <w:bCs/>
                <w:color w:val="000000"/>
                <w:sz w:val="22"/>
                <w:szCs w:val="22"/>
              </w:rPr>
            </w:pPr>
            <w:r>
              <w:rPr>
                <w:rFonts w:ascii="Century" w:hAnsi="Century" w:cs="Arial"/>
                <w:b/>
                <w:bCs/>
                <w:sz w:val="22"/>
                <w:szCs w:val="22"/>
              </w:rPr>
              <w:t xml:space="preserve">I. BACKGROUND </w:t>
            </w:r>
          </w:p>
        </w:tc>
      </w:tr>
      <w:tr w:rsidR="00553851" w14:paraId="257CE522" w14:textId="77777777">
        <w:trPr>
          <w:trHeight w:val="2230"/>
        </w:trPr>
        <w:tc>
          <w:tcPr>
            <w:tcW w:w="9342" w:type="dxa"/>
            <w:shd w:val="clear" w:color="auto" w:fill="FFFFFF" w:themeFill="background1"/>
            <w:vAlign w:val="center"/>
          </w:tcPr>
          <w:p w14:paraId="5E14EFE6" w14:textId="77777777" w:rsidR="00553851" w:rsidRDefault="006917A9">
            <w:pPr>
              <w:pStyle w:val="NormalWeb"/>
              <w:jc w:val="both"/>
              <w:rPr>
                <w:rFonts w:ascii="Century" w:hAnsi="Century"/>
              </w:rPr>
            </w:pPr>
            <w:r>
              <w:rPr>
                <w:rFonts w:ascii="Century" w:hAnsi="Century"/>
              </w:rPr>
              <w:t xml:space="preserve">The Intergovernmental Authority on Development (IGAD) is a Regional Economic Community (REC) comprised of Djibouti, Eritrea, Ethiopia, Kenya, Somalia, South Sudan, Sudan, and Uganda for the purpose of regional economic integration and joint efforts toward peace, security, and prosperity. IGAD seeks to achieve this through the promotion of regional cooperation and </w:t>
            </w:r>
            <w:proofErr w:type="spellStart"/>
            <w:r>
              <w:rPr>
                <w:rFonts w:ascii="Century" w:hAnsi="Century"/>
              </w:rPr>
              <w:t>programmes</w:t>
            </w:r>
            <w:proofErr w:type="spellEnd"/>
            <w:r>
              <w:rPr>
                <w:rFonts w:ascii="Century" w:hAnsi="Century"/>
              </w:rPr>
              <w:t xml:space="preserve"> that add value to Member States’ efforts for peace and sustainable development. Contributing toward the fulfillment of its mandate and mission, IGAD is committed to promoting gender equality, non-discrimination, and equal opportunity across its work streams. The IGAD 2021-2025 Strategy sets the strategic framework for priority interventions for the first five years of the implementation of IGAD Vision 2050 and builds on several on-going </w:t>
            </w:r>
            <w:proofErr w:type="spellStart"/>
            <w:r>
              <w:rPr>
                <w:rFonts w:ascii="Century" w:hAnsi="Century"/>
              </w:rPr>
              <w:t>p</w:t>
            </w:r>
            <w:r>
              <w:rPr>
                <w:rFonts w:ascii="Century" w:hAnsi="Century"/>
              </w:rPr>
              <w:t>rogrammes</w:t>
            </w:r>
            <w:proofErr w:type="spellEnd"/>
            <w:r>
              <w:rPr>
                <w:rFonts w:ascii="Century" w:hAnsi="Century"/>
              </w:rPr>
              <w:t xml:space="preserve"> established to develop resilient ecosystems and e</w:t>
            </w:r>
            <w:r>
              <w:rPr>
                <w:rFonts w:ascii="Century" w:hAnsi="Century"/>
              </w:rPr>
              <w:t xml:space="preserve">conomic growth. </w:t>
            </w:r>
          </w:p>
          <w:p w14:paraId="64442644" w14:textId="77777777" w:rsidR="00553851" w:rsidRDefault="00553851">
            <w:pPr>
              <w:pStyle w:val="NormalWeb"/>
              <w:jc w:val="both"/>
              <w:rPr>
                <w:rFonts w:ascii="Century" w:hAnsi="Century"/>
              </w:rPr>
            </w:pPr>
          </w:p>
        </w:tc>
      </w:tr>
      <w:tr w:rsidR="00553851" w14:paraId="15A3AEA5" w14:textId="77777777">
        <w:trPr>
          <w:trHeight w:val="380"/>
        </w:trPr>
        <w:tc>
          <w:tcPr>
            <w:tcW w:w="9342" w:type="dxa"/>
            <w:tcBorders>
              <w:bottom w:val="single" w:sz="4" w:space="0" w:color="auto"/>
            </w:tcBorders>
            <w:shd w:val="clear" w:color="auto" w:fill="A9D08E"/>
            <w:vAlign w:val="center"/>
          </w:tcPr>
          <w:p w14:paraId="436F0871" w14:textId="77777777" w:rsidR="00553851" w:rsidRDefault="006917A9">
            <w:pPr>
              <w:rPr>
                <w:rFonts w:ascii="Century" w:hAnsi="Century" w:cs="Arial"/>
                <w:color w:val="000000"/>
                <w:sz w:val="28"/>
                <w:szCs w:val="28"/>
              </w:rPr>
            </w:pPr>
            <w:r>
              <w:rPr>
                <w:rFonts w:ascii="Century" w:hAnsi="Century" w:cs="Arial"/>
                <w:sz w:val="28"/>
                <w:szCs w:val="28"/>
              </w:rPr>
              <w:t> II</w:t>
            </w:r>
            <w:r>
              <w:rPr>
                <w:rFonts w:ascii="Century" w:hAnsi="Century" w:cs="Arial"/>
                <w:color w:val="000000"/>
                <w:sz w:val="28"/>
                <w:szCs w:val="28"/>
              </w:rPr>
              <w:t xml:space="preserve">.  </w:t>
            </w:r>
            <w:r>
              <w:rPr>
                <w:rFonts w:ascii="Century" w:hAnsi="Century" w:cs="Arial"/>
                <w:b/>
                <w:bCs/>
                <w:sz w:val="22"/>
                <w:szCs w:val="22"/>
              </w:rPr>
              <w:t xml:space="preserve">PROJECT DESCRIPTION  </w:t>
            </w:r>
          </w:p>
        </w:tc>
      </w:tr>
      <w:tr w:rsidR="00553851" w14:paraId="728E09E0" w14:textId="77777777">
        <w:trPr>
          <w:trHeight w:val="380"/>
        </w:trPr>
        <w:tc>
          <w:tcPr>
            <w:tcW w:w="9342" w:type="dxa"/>
            <w:tcBorders>
              <w:bottom w:val="single" w:sz="4" w:space="0" w:color="auto"/>
            </w:tcBorders>
            <w:shd w:val="clear" w:color="auto" w:fill="auto"/>
            <w:vAlign w:val="center"/>
          </w:tcPr>
          <w:p w14:paraId="436FB061" w14:textId="77777777" w:rsidR="00553851" w:rsidRDefault="006917A9">
            <w:pPr>
              <w:spacing w:after="200"/>
              <w:jc w:val="both"/>
              <w:rPr>
                <w:rFonts w:ascii="Century" w:eastAsia="Century" w:hAnsi="Century" w:cs="Century"/>
                <w:color w:val="000000" w:themeColor="text1"/>
              </w:rPr>
            </w:pPr>
            <w:r>
              <w:rPr>
                <w:rFonts w:ascii="Century" w:eastAsia="Century" w:hAnsi="Century" w:cs="Century" w:hint="eastAsia"/>
                <w:color w:val="000000" w:themeColor="text1"/>
              </w:rPr>
              <w:t xml:space="preserve">While democratic governance, rule of law, human rights and environmental conservation are critical components of sustainable development and lasting peace, these critical pillars remain elusive in Africa. This deficiency has perpetuated leadership maladies resulting in protracted conflict and displacement, high rates of poverty, economic uncertainty and unemployment, state-citizen detachment and socio-ecological vulnerability and gender inequality. </w:t>
            </w:r>
          </w:p>
          <w:p w14:paraId="2ECE5B2C" w14:textId="77777777" w:rsidR="00553851" w:rsidRDefault="006917A9">
            <w:pPr>
              <w:spacing w:after="200"/>
              <w:jc w:val="both"/>
              <w:rPr>
                <w:rFonts w:ascii="Century" w:eastAsia="Century" w:hAnsi="Century" w:cs="Century"/>
                <w:color w:val="000000"/>
              </w:rPr>
            </w:pPr>
            <w:r>
              <w:rPr>
                <w:rFonts w:ascii="Century" w:eastAsia="Century" w:hAnsi="Century" w:cs="Century" w:hint="eastAsia"/>
                <w:color w:val="000000"/>
              </w:rPr>
              <w:t xml:space="preserve">Whereas these conditions are relatively generic worldwide, the factors driving them in Africa are unique to its circumstances and as a result, call for tailor-made solutions that are efficient, effective, gender responsive and relevant to this setting. The </w:t>
            </w:r>
            <w:r>
              <w:rPr>
                <w:rFonts w:ascii="Century" w:eastAsia="Century" w:hAnsi="Century" w:cs="Century" w:hint="eastAsia"/>
                <w:color w:val="000000"/>
              </w:rPr>
              <w:t>‘</w:t>
            </w:r>
            <w:r>
              <w:rPr>
                <w:rFonts w:ascii="Century" w:eastAsia="Century" w:hAnsi="Century" w:cs="Century" w:hint="eastAsia"/>
                <w:color w:val="000000"/>
              </w:rPr>
              <w:t>center of gravity</w:t>
            </w:r>
            <w:r>
              <w:rPr>
                <w:rFonts w:ascii="Century" w:eastAsia="Century" w:hAnsi="Century" w:cs="Century" w:hint="eastAsia"/>
                <w:color w:val="000000"/>
              </w:rPr>
              <w:t>’</w:t>
            </w:r>
            <w:r>
              <w:rPr>
                <w:rFonts w:ascii="Century" w:eastAsia="Century" w:hAnsi="Century" w:cs="Century" w:hint="eastAsia"/>
                <w:color w:val="000000"/>
              </w:rPr>
              <w:t xml:space="preserve"> in which these stipulations converge is to be found in the realm of leadership. Addressing the root causes, triggers and drivers of the region</w:t>
            </w:r>
            <w:r>
              <w:rPr>
                <w:rFonts w:ascii="Century" w:eastAsia="Century" w:hAnsi="Century" w:cs="Century" w:hint="eastAsia"/>
                <w:color w:val="000000"/>
              </w:rPr>
              <w:t>’</w:t>
            </w:r>
            <w:r>
              <w:rPr>
                <w:rFonts w:ascii="Century" w:eastAsia="Century" w:hAnsi="Century" w:cs="Century" w:hint="eastAsia"/>
                <w:color w:val="000000"/>
              </w:rPr>
              <w:t xml:space="preserve">s leadership challenges is therefore a paramount intervention necessary to </w:t>
            </w:r>
            <w:r>
              <w:rPr>
                <w:rFonts w:ascii="Century" w:eastAsia="Century" w:hAnsi="Century" w:cs="Century" w:hint="eastAsia"/>
                <w:color w:val="000000"/>
              </w:rPr>
              <w:lastRenderedPageBreak/>
              <w:t xml:space="preserve">anticipate, avert and mitigate the existential threats arising from anemic leadership. </w:t>
            </w:r>
          </w:p>
          <w:p w14:paraId="3D8C69F9" w14:textId="77777777" w:rsidR="00553851" w:rsidRDefault="006917A9">
            <w:pPr>
              <w:spacing w:after="200"/>
              <w:jc w:val="both"/>
              <w:rPr>
                <w:rFonts w:ascii="Century" w:eastAsia="Century" w:hAnsi="Century" w:cs="Century"/>
                <w:color w:val="000000"/>
              </w:rPr>
            </w:pPr>
            <w:r>
              <w:rPr>
                <w:rFonts w:ascii="Century" w:eastAsia="Century" w:hAnsi="Century" w:cs="Century" w:hint="eastAsia"/>
                <w:color w:val="000000" w:themeColor="text1"/>
              </w:rPr>
              <w:t>African leaders, where a vast majority traditionally have been men, have frequently come to their position with limited experience.  In some cases, also women come to leadership, and without the required training through quota due to limited access to education and other opportunities. Though most of them have battled on, confronting their immense problems of development and nation-building essentially not only unprepared but unaided, their efforts have been at best only a qualified success. There are no in</w:t>
            </w:r>
            <w:r>
              <w:rPr>
                <w:rFonts w:ascii="Century" w:eastAsia="Century" w:hAnsi="Century" w:cs="Century" w:hint="eastAsia"/>
                <w:color w:val="000000" w:themeColor="text1"/>
              </w:rPr>
              <w:t xml:space="preserve">stitutions in Africa devoted to preparing potential leaders with a global outlook, leaders who will be able to cooperate within and across regional, national, and institutional boundaries, in combination with a focus on their potential role and impact as drivers for gender equality. </w:t>
            </w:r>
          </w:p>
          <w:p w14:paraId="4ECA37C5" w14:textId="77777777" w:rsidR="00553851" w:rsidRDefault="006917A9">
            <w:pPr>
              <w:spacing w:before="120" w:after="120"/>
              <w:jc w:val="both"/>
              <w:rPr>
                <w:rStyle w:val="None"/>
                <w:rFonts w:ascii="Century" w:eastAsia="Century" w:hAnsi="Century" w:cs="Century"/>
                <w:color w:val="000000"/>
              </w:rPr>
            </w:pPr>
            <w:r>
              <w:rPr>
                <w:rFonts w:ascii="Century" w:eastAsia="Century" w:hAnsi="Century" w:cs="Century" w:hint="eastAsia"/>
                <w:color w:val="000000" w:themeColor="text1"/>
              </w:rPr>
              <w:t>P</w:t>
            </w:r>
            <w:r>
              <w:rPr>
                <w:rFonts w:ascii="Century" w:eastAsia="Century" w:hAnsi="Century" w:cs="Century" w:hint="eastAsia"/>
                <w:color w:val="000000" w:themeColor="text1"/>
              </w:rPr>
              <w:t>romotion of gender equality and women empowerment (GEWE) is underscored as a critical imperative for IGAD</w:t>
            </w:r>
            <w:r>
              <w:rPr>
                <w:rFonts w:ascii="Century" w:eastAsia="Century" w:hAnsi="Century" w:cs="Century"/>
                <w:color w:val="000000" w:themeColor="text1"/>
              </w:rPr>
              <w:t>’</w:t>
            </w:r>
            <w:r>
              <w:rPr>
                <w:rFonts w:ascii="Century" w:eastAsia="Century" w:hAnsi="Century" w:cs="Century" w:hint="eastAsia"/>
                <w:color w:val="000000" w:themeColor="text1"/>
              </w:rPr>
              <w:t xml:space="preserve">s mission in fostering resilience, regional integration, and peace for sustainable development in the </w:t>
            </w:r>
            <w:r>
              <w:rPr>
                <w:rFonts w:ascii="Century" w:eastAsia="Century" w:hAnsi="Century" w:cs="Century" w:hint="eastAsia"/>
                <w:color w:val="000000" w:themeColor="text1"/>
              </w:rPr>
              <w:t>IGAD Region</w:t>
            </w:r>
            <w:r>
              <w:rPr>
                <w:rFonts w:ascii="Century" w:eastAsia="Century" w:hAnsi="Century" w:cs="Century" w:hint="eastAsia"/>
                <w:color w:val="000000" w:themeColor="text1"/>
              </w:rPr>
              <w:t xml:space="preserve"> and is</w:t>
            </w:r>
            <w:r>
              <w:rPr>
                <w:rFonts w:ascii="Century" w:eastAsia="Century" w:hAnsi="Century" w:cs="Century" w:hint="eastAsia"/>
                <w:color w:val="000000" w:themeColor="text1"/>
              </w:rPr>
              <w:t xml:space="preserve"> enshrined as one of the key institutional and programmatic priorities under the IGAD Strategy 2021-2025  </w:t>
            </w:r>
            <w:r>
              <w:rPr>
                <w:rFonts w:ascii="Century" w:eastAsia="Century" w:hAnsi="Century" w:cs="Century" w:hint="eastAsia"/>
                <w:color w:val="000000" w:themeColor="text1"/>
              </w:rPr>
              <w:t>among</w:t>
            </w:r>
            <w:r>
              <w:rPr>
                <w:rFonts w:ascii="Century" w:eastAsia="Century" w:hAnsi="Century" w:cs="Century" w:hint="eastAsia"/>
                <w:color w:val="000000" w:themeColor="text1"/>
              </w:rPr>
              <w:t xml:space="preserve"> other institutional frameworks</w:t>
            </w:r>
            <w:r>
              <w:rPr>
                <w:rFonts w:ascii="Century" w:eastAsia="Century" w:hAnsi="Century" w:cs="Century" w:hint="eastAsia"/>
                <w:color w:val="000000" w:themeColor="text1"/>
              </w:rPr>
              <w:t xml:space="preserve"> including </w:t>
            </w:r>
            <w:r>
              <w:rPr>
                <w:rFonts w:ascii="Century" w:eastAsia="Century" w:hAnsi="Century" w:cs="Century" w:hint="eastAsia"/>
                <w:color w:val="000000" w:themeColor="text1"/>
              </w:rPr>
              <w:t>Vision 2050, Institutional Gender Policy 2018</w:t>
            </w:r>
            <w:r>
              <w:rPr>
                <w:rFonts w:ascii="Century" w:eastAsia="Century" w:hAnsi="Century" w:cs="Century" w:hint="eastAsia"/>
                <w:color w:val="000000" w:themeColor="text1"/>
              </w:rPr>
              <w:t>,</w:t>
            </w:r>
            <w:r>
              <w:rPr>
                <w:rFonts w:ascii="Century" w:eastAsia="Century" w:hAnsi="Century" w:cs="Century" w:hint="eastAsia"/>
                <w:color w:val="000000" w:themeColor="text1"/>
              </w:rPr>
              <w:t xml:space="preserve"> Gender Strategy 2016-2020 and the new Draft Regional Gender Strategy, the Gender Management System Handbook 2017, the Customized Gender Mainstreaming </w:t>
            </w:r>
            <w:r>
              <w:rPr>
                <w:rFonts w:ascii="Century" w:eastAsia="Century" w:hAnsi="Century" w:cs="Century"/>
                <w:color w:val="000000" w:themeColor="text1"/>
              </w:rPr>
              <w:t>T</w:t>
            </w:r>
            <w:r>
              <w:rPr>
                <w:rFonts w:ascii="Century" w:eastAsia="Century" w:hAnsi="Century" w:cs="Century" w:hint="eastAsia"/>
                <w:color w:val="000000" w:themeColor="text1"/>
              </w:rPr>
              <w:t>oolkit for IGAD Divisions and Gender Policy Framework</w:t>
            </w:r>
            <w:r>
              <w:rPr>
                <w:rFonts w:ascii="Century" w:eastAsia="Century" w:hAnsi="Century" w:cs="Century" w:hint="eastAsia"/>
                <w:color w:val="000000" w:themeColor="text1"/>
              </w:rPr>
              <w:t>.</w:t>
            </w:r>
            <w:r>
              <w:rPr>
                <w:rFonts w:ascii="Century" w:eastAsia="Century" w:hAnsi="Century" w:cs="Century" w:hint="eastAsia"/>
              </w:rPr>
              <w:t xml:space="preserve"> </w:t>
            </w:r>
            <w:r>
              <w:rPr>
                <w:rFonts w:ascii="Century" w:eastAsia="Century" w:hAnsi="Century" w:cs="Century" w:hint="eastAsia"/>
              </w:rPr>
              <w:t xml:space="preserve">At a regional level, </w:t>
            </w:r>
            <w:r>
              <w:rPr>
                <w:rFonts w:ascii="Century" w:eastAsia="Century" w:hAnsi="Century" w:cs="Century" w:hint="eastAsia"/>
              </w:rPr>
              <w:t xml:space="preserve">IGAD </w:t>
            </w:r>
            <w:r>
              <w:rPr>
                <w:rStyle w:val="None"/>
                <w:rFonts w:ascii="Century" w:eastAsia="Century" w:hAnsi="Century" w:cs="Century" w:hint="eastAsia"/>
              </w:rPr>
              <w:t xml:space="preserve">is currently reviewing its Action Plan on UN Security Council </w:t>
            </w:r>
            <w:r>
              <w:rPr>
                <w:rStyle w:val="None"/>
                <w:rFonts w:ascii="Century" w:eastAsia="Century" w:hAnsi="Century" w:cs="Century" w:hint="eastAsia"/>
              </w:rPr>
              <w:t xml:space="preserve">Resolution 1325 and subsequent resolutions on Women, </w:t>
            </w:r>
            <w:proofErr w:type="gramStart"/>
            <w:r>
              <w:rPr>
                <w:rStyle w:val="None"/>
                <w:rFonts w:ascii="Century" w:eastAsia="Century" w:hAnsi="Century" w:cs="Century" w:hint="eastAsia"/>
              </w:rPr>
              <w:t>Peace</w:t>
            </w:r>
            <w:proofErr w:type="gramEnd"/>
            <w:r>
              <w:rPr>
                <w:rStyle w:val="None"/>
                <w:rFonts w:ascii="Century" w:eastAsia="Century" w:hAnsi="Century" w:cs="Century" w:hint="eastAsia"/>
              </w:rPr>
              <w:t xml:space="preserve"> and Security. </w:t>
            </w:r>
          </w:p>
          <w:p w14:paraId="3ECA50E4" w14:textId="77777777" w:rsidR="00553851" w:rsidRDefault="006917A9">
            <w:pPr>
              <w:spacing w:before="120" w:after="120"/>
              <w:jc w:val="both"/>
              <w:rPr>
                <w:rFonts w:ascii="Century" w:hAnsi="Century" w:cs="Arial"/>
                <w:sz w:val="28"/>
                <w:szCs w:val="28"/>
              </w:rPr>
            </w:pPr>
            <w:r>
              <w:rPr>
                <w:rFonts w:ascii="Century" w:eastAsia="Century" w:hAnsi="Century" w:cs="Century" w:hint="eastAsia"/>
                <w:color w:val="000000"/>
              </w:rPr>
              <w:t xml:space="preserve">The establishment of the IGAD Leadership Academy (ILA) seeks to facilitate the mentorship and provisioning of future men and women leaders with the critical skill sets necessary to both chart and steer the course of a rapidly developing multi-cultural African society in the 21st century and beyond. The ILA was endorsed and approved by the IGAD Head of States and Governments Summit held in Nairobi, Kenya on 5th July 2022. The Government of Kenya has provided offices where ILA will be located. </w:t>
            </w:r>
          </w:p>
        </w:tc>
      </w:tr>
      <w:tr w:rsidR="00553851" w14:paraId="679E7607" w14:textId="77777777">
        <w:trPr>
          <w:trHeight w:val="90"/>
        </w:trPr>
        <w:tc>
          <w:tcPr>
            <w:tcW w:w="93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E1DC86A" w14:textId="77777777" w:rsidR="00553851" w:rsidRDefault="006917A9">
            <w:pPr>
              <w:rPr>
                <w:rFonts w:ascii="Century" w:hAnsi="Century" w:cs="Arial"/>
                <w:color w:val="000000"/>
                <w:sz w:val="22"/>
                <w:szCs w:val="22"/>
              </w:rPr>
            </w:pPr>
            <w:r>
              <w:rPr>
                <w:rFonts w:ascii="Century" w:eastAsia="Century" w:hAnsi="Century" w:cs="Century"/>
                <w:b/>
                <w:bCs/>
                <w:color w:val="000000"/>
              </w:rPr>
              <w:lastRenderedPageBreak/>
              <w:t xml:space="preserve">III. </w:t>
            </w:r>
            <w:r>
              <w:rPr>
                <w:rFonts w:ascii="Century" w:eastAsia="Century" w:hAnsi="Century" w:cs="Century" w:hint="eastAsia"/>
                <w:b/>
                <w:bCs/>
                <w:color w:val="000000"/>
              </w:rPr>
              <w:t>PROJECT OBJECTIVE</w:t>
            </w:r>
          </w:p>
        </w:tc>
      </w:tr>
      <w:tr w:rsidR="00553851" w14:paraId="6597A9F3" w14:textId="77777777">
        <w:trPr>
          <w:trHeight w:val="1670"/>
        </w:trPr>
        <w:tc>
          <w:tcPr>
            <w:tcW w:w="9342" w:type="dxa"/>
            <w:tcBorders>
              <w:top w:val="single" w:sz="4" w:space="0" w:color="auto"/>
            </w:tcBorders>
            <w:shd w:val="clear" w:color="auto" w:fill="FFFFFF" w:themeFill="background1"/>
            <w:vAlign w:val="center"/>
          </w:tcPr>
          <w:p w14:paraId="4522DD7C" w14:textId="77777777" w:rsidR="00553851" w:rsidRDefault="006917A9">
            <w:pPr>
              <w:spacing w:after="200"/>
              <w:jc w:val="both"/>
              <w:rPr>
                <w:rFonts w:ascii="Century" w:hAnsi="Century" w:cs="Arial"/>
                <w:color w:val="000000"/>
                <w:sz w:val="22"/>
                <w:szCs w:val="22"/>
              </w:rPr>
            </w:pPr>
            <w:r>
              <w:rPr>
                <w:rFonts w:ascii="Century" w:eastAsia="Century" w:hAnsi="Century" w:cs="Century" w:hint="eastAsia"/>
                <w:color w:val="000000"/>
              </w:rPr>
              <w:t>The</w:t>
            </w:r>
            <w:r>
              <w:rPr>
                <w:rFonts w:ascii="Century" w:eastAsia="Century" w:hAnsi="Century" w:cs="Century"/>
                <w:color w:val="000000"/>
              </w:rPr>
              <w:t xml:space="preserve"> </w:t>
            </w:r>
            <w:r>
              <w:rPr>
                <w:rFonts w:ascii="Century" w:eastAsia="Century" w:hAnsi="Century" w:cs="Century" w:hint="eastAsia"/>
                <w:color w:val="000000"/>
              </w:rPr>
              <w:t>I</w:t>
            </w:r>
            <w:r>
              <w:rPr>
                <w:rFonts w:ascii="Century" w:eastAsia="Century" w:hAnsi="Century" w:cs="Century" w:hint="eastAsia"/>
                <w:color w:val="000000"/>
              </w:rPr>
              <w:t xml:space="preserve">GAD Leadership Academy in </w:t>
            </w:r>
            <w:r>
              <w:rPr>
                <w:rFonts w:ascii="Century" w:eastAsia="Century" w:hAnsi="Century" w:cs="Century" w:hint="eastAsia"/>
                <w:color w:val="000000"/>
              </w:rPr>
              <w:t>c</w:t>
            </w:r>
            <w:r>
              <w:rPr>
                <w:rFonts w:ascii="Century" w:eastAsia="Century" w:hAnsi="Century" w:cs="Century" w:hint="eastAsia"/>
                <w:color w:val="000000"/>
              </w:rPr>
              <w:t>ollaboration with</w:t>
            </w:r>
            <w:r>
              <w:rPr>
                <w:rFonts w:ascii="Century" w:eastAsia="Century" w:hAnsi="Century" w:cs="Century"/>
                <w:color w:val="000000"/>
              </w:rPr>
              <w:t xml:space="preserve"> the</w:t>
            </w:r>
            <w:r>
              <w:rPr>
                <w:rFonts w:ascii="Century" w:eastAsia="Century" w:hAnsi="Century" w:cs="Century" w:hint="eastAsia"/>
                <w:color w:val="000000"/>
              </w:rPr>
              <w:t xml:space="preserve"> IGAD Gender Affairs is seeking to hire three</w:t>
            </w:r>
            <w:r>
              <w:rPr>
                <w:rFonts w:ascii="Century" w:eastAsia="Century" w:hAnsi="Century" w:cs="Century"/>
                <w:color w:val="000000"/>
              </w:rPr>
              <w:t xml:space="preserve"> (3)</w:t>
            </w:r>
            <w:r>
              <w:rPr>
                <w:rFonts w:ascii="Century" w:eastAsia="Century" w:hAnsi="Century" w:cs="Century" w:hint="eastAsia"/>
                <w:color w:val="000000"/>
              </w:rPr>
              <w:t xml:space="preserve"> qualified consultants to develop a comprehensive leadership curriculum that is gender mainstreamed. </w:t>
            </w:r>
          </w:p>
        </w:tc>
      </w:tr>
      <w:tr w:rsidR="00553851" w14:paraId="1EEA9571" w14:textId="77777777">
        <w:trPr>
          <w:trHeight w:val="400"/>
        </w:trPr>
        <w:tc>
          <w:tcPr>
            <w:tcW w:w="9342" w:type="dxa"/>
            <w:shd w:val="clear" w:color="auto" w:fill="A9D08E"/>
            <w:vAlign w:val="center"/>
          </w:tcPr>
          <w:p w14:paraId="065FA932" w14:textId="77777777" w:rsidR="00553851" w:rsidRDefault="006917A9">
            <w:pPr>
              <w:rPr>
                <w:rFonts w:ascii="Century" w:hAnsi="Century" w:cs="Arial"/>
                <w:color w:val="000000"/>
                <w:sz w:val="22"/>
                <w:szCs w:val="22"/>
              </w:rPr>
            </w:pPr>
            <w:r>
              <w:rPr>
                <w:rFonts w:ascii="Century" w:hAnsi="Century" w:cs="Arial"/>
                <w:b/>
                <w:bCs/>
              </w:rPr>
              <w:t>I</w:t>
            </w:r>
            <w:r>
              <w:rPr>
                <w:rFonts w:ascii="Century" w:hAnsi="Century" w:cs="Arial"/>
                <w:b/>
                <w:bCs/>
              </w:rPr>
              <w:t>V</w:t>
            </w:r>
            <w:r>
              <w:rPr>
                <w:rFonts w:ascii="Century" w:hAnsi="Century" w:cs="Arial"/>
                <w:b/>
                <w:bCs/>
              </w:rPr>
              <w:t xml:space="preserve">. DUTIES AND RESPONSIBILITIES </w:t>
            </w:r>
            <w:r>
              <w:rPr>
                <w:rFonts w:ascii="Century" w:hAnsi="Century" w:cs="Arial"/>
                <w:b/>
                <w:bCs/>
              </w:rPr>
              <w:t>BY THE CONSULTANT(S)</w:t>
            </w:r>
            <w:r>
              <w:rPr>
                <w:rFonts w:ascii="Century" w:hAnsi="Century" w:cs="Arial"/>
                <w:color w:val="000000"/>
              </w:rPr>
              <w:t xml:space="preserve"> </w:t>
            </w:r>
          </w:p>
        </w:tc>
      </w:tr>
      <w:tr w:rsidR="00553851" w14:paraId="7C7F73D2" w14:textId="77777777">
        <w:trPr>
          <w:trHeight w:val="350"/>
        </w:trPr>
        <w:tc>
          <w:tcPr>
            <w:tcW w:w="9342" w:type="dxa"/>
            <w:shd w:val="clear" w:color="auto" w:fill="FFFFFF" w:themeFill="background1"/>
            <w:vAlign w:val="center"/>
          </w:tcPr>
          <w:p w14:paraId="2873E552" w14:textId="77777777" w:rsidR="00553851" w:rsidRDefault="006917A9">
            <w:pPr>
              <w:jc w:val="both"/>
              <w:rPr>
                <w:rFonts w:ascii="Century" w:hAnsi="Century"/>
              </w:rPr>
            </w:pPr>
            <w:r>
              <w:rPr>
                <w:rFonts w:ascii="Century" w:hAnsi="Century"/>
              </w:rPr>
              <w:t xml:space="preserve">The objective of this assignment is to develop a curriculum that will be based on </w:t>
            </w:r>
            <w:r>
              <w:rPr>
                <w:rFonts w:ascii="Century" w:hAnsi="Century"/>
              </w:rPr>
              <w:t>c</w:t>
            </w:r>
            <w:r>
              <w:rPr>
                <w:rFonts w:ascii="Century" w:hAnsi="Century"/>
              </w:rPr>
              <w:t xml:space="preserve">urriculum as a process and education as development approach, meaning to first consider the purposes and values driving the initiative, and then select content and </w:t>
            </w:r>
            <w:r>
              <w:rPr>
                <w:rFonts w:ascii="Century" w:hAnsi="Century"/>
              </w:rPr>
              <w:lastRenderedPageBreak/>
              <w:t xml:space="preserve">methods to fit these, as well as emphasizing real life experiences and case studies as the main approach to effective learning and development. </w:t>
            </w:r>
          </w:p>
          <w:p w14:paraId="01314965" w14:textId="77777777" w:rsidR="00553851" w:rsidRDefault="006917A9">
            <w:pPr>
              <w:jc w:val="both"/>
              <w:rPr>
                <w:rFonts w:ascii="Century" w:hAnsi="Century"/>
              </w:rPr>
            </w:pPr>
            <w:r>
              <w:rPr>
                <w:rFonts w:ascii="Century" w:hAnsi="Century"/>
              </w:rPr>
              <w:t xml:space="preserve">It will be a comprehensive curriculum that will nurture visionary, responsive next generation leaders that appreciate gender equality and that apply leadership qualities to effectively deal with challenges marring Africa. The curriculum is to be developed in line with relevant strategies, policies and guidelines that will be provided by IGAD. </w:t>
            </w:r>
          </w:p>
          <w:p w14:paraId="5AD9498F" w14:textId="77777777" w:rsidR="00553851" w:rsidRDefault="006917A9">
            <w:pPr>
              <w:jc w:val="both"/>
              <w:rPr>
                <w:rFonts w:ascii="Century" w:hAnsi="Century"/>
                <w:sz w:val="22"/>
                <w:szCs w:val="22"/>
              </w:rPr>
            </w:pPr>
            <w:r>
              <w:rPr>
                <w:rFonts w:ascii="Century" w:hAnsi="Century"/>
              </w:rPr>
              <w:t>The consultant is expected to:</w:t>
            </w:r>
          </w:p>
          <w:p w14:paraId="5CE7D0AF" w14:textId="77777777" w:rsidR="00553851" w:rsidRDefault="006917A9">
            <w:pPr>
              <w:pStyle w:val="ListParagraph"/>
              <w:numPr>
                <w:ilvl w:val="1"/>
                <w:numId w:val="1"/>
              </w:numPr>
              <w:jc w:val="both"/>
              <w:rPr>
                <w:rFonts w:ascii="Century" w:hAnsi="Century"/>
                <w:lang w:val="en-US"/>
              </w:rPr>
            </w:pPr>
            <w:r>
              <w:rPr>
                <w:rFonts w:ascii="Century" w:hAnsi="Century"/>
                <w:lang w:val="en-US"/>
              </w:rPr>
              <w:t xml:space="preserve">Develop a comprehensive and gender mainstreamed </w:t>
            </w:r>
            <w:r>
              <w:rPr>
                <w:rFonts w:ascii="Century" w:hAnsi="Century"/>
                <w:lang w:val="en-US"/>
              </w:rPr>
              <w:t>c</w:t>
            </w:r>
            <w:r>
              <w:rPr>
                <w:rFonts w:ascii="Century" w:hAnsi="Century"/>
                <w:lang w:val="en-US"/>
              </w:rPr>
              <w:t xml:space="preserve">urriculum for the IGAD Leadership Academy. </w:t>
            </w:r>
          </w:p>
          <w:p w14:paraId="443DB7CB" w14:textId="77777777" w:rsidR="00553851" w:rsidRDefault="006917A9">
            <w:pPr>
              <w:pStyle w:val="ListParagraph"/>
              <w:numPr>
                <w:ilvl w:val="1"/>
                <w:numId w:val="1"/>
              </w:numPr>
              <w:jc w:val="both"/>
              <w:rPr>
                <w:rFonts w:ascii="Century" w:hAnsi="Century"/>
                <w:lang w:val="en-US"/>
              </w:rPr>
            </w:pPr>
            <w:r>
              <w:rPr>
                <w:rFonts w:ascii="Century" w:hAnsi="Century"/>
                <w:lang w:val="en-US"/>
              </w:rPr>
              <w:t>Develop the criteria for admission into the IGAD Leadership Academy</w:t>
            </w:r>
          </w:p>
          <w:p w14:paraId="0EC0C802" w14:textId="77777777" w:rsidR="00553851" w:rsidRDefault="006917A9">
            <w:pPr>
              <w:pStyle w:val="ListParagraph"/>
              <w:numPr>
                <w:ilvl w:val="1"/>
                <w:numId w:val="1"/>
              </w:numPr>
              <w:jc w:val="both"/>
              <w:rPr>
                <w:rFonts w:ascii="Century" w:hAnsi="Century"/>
                <w:lang w:val="en-US"/>
              </w:rPr>
            </w:pPr>
            <w:r>
              <w:rPr>
                <w:rFonts w:ascii="Century" w:hAnsi="Century"/>
                <w:lang w:val="en-US"/>
              </w:rPr>
              <w:t>Develop the costing and duration to undertake the leadership course at the IGAD Leadership Academy</w:t>
            </w:r>
          </w:p>
          <w:p w14:paraId="14C59F5D" w14:textId="77777777" w:rsidR="00553851" w:rsidRDefault="00553851">
            <w:pPr>
              <w:pStyle w:val="ListParagraph"/>
              <w:rPr>
                <w:rFonts w:ascii="Century" w:hAnsi="Century"/>
                <w:sz w:val="22"/>
                <w:szCs w:val="22"/>
              </w:rPr>
            </w:pPr>
          </w:p>
        </w:tc>
      </w:tr>
      <w:tr w:rsidR="00553851" w14:paraId="37212C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342" w:type="dxa"/>
            <w:tcBorders>
              <w:top w:val="single" w:sz="4" w:space="0" w:color="auto"/>
              <w:left w:val="single" w:sz="4" w:space="0" w:color="auto"/>
              <w:bottom w:val="single" w:sz="4" w:space="0" w:color="auto"/>
              <w:right w:val="single" w:sz="4" w:space="0" w:color="auto"/>
            </w:tcBorders>
            <w:shd w:val="clear" w:color="auto" w:fill="A9D08E"/>
            <w:vAlign w:val="center"/>
          </w:tcPr>
          <w:p w14:paraId="408B329B" w14:textId="77777777" w:rsidR="00553851" w:rsidRDefault="006917A9">
            <w:pPr>
              <w:rPr>
                <w:rFonts w:ascii="Century" w:hAnsi="Century" w:cs="Arial"/>
                <w:color w:val="000000"/>
                <w:sz w:val="22"/>
                <w:szCs w:val="22"/>
              </w:rPr>
            </w:pPr>
            <w:r>
              <w:rPr>
                <w:rFonts w:ascii="Century" w:hAnsi="Century"/>
                <w:b/>
                <w:bCs/>
                <w:sz w:val="22"/>
                <w:szCs w:val="22"/>
              </w:rPr>
              <w:lastRenderedPageBreak/>
              <w:t xml:space="preserve">V. KEY </w:t>
            </w:r>
            <w:r>
              <w:rPr>
                <w:rFonts w:ascii="Century" w:hAnsi="Century"/>
                <w:b/>
                <w:bCs/>
                <w:sz w:val="22"/>
                <w:szCs w:val="22"/>
              </w:rPr>
              <w:t>D</w:t>
            </w:r>
            <w:r>
              <w:rPr>
                <w:rFonts w:ascii="Century" w:hAnsi="Century"/>
                <w:b/>
                <w:bCs/>
                <w:sz w:val="22"/>
                <w:szCs w:val="22"/>
              </w:rPr>
              <w:t xml:space="preserve">ELIVERABLES </w:t>
            </w:r>
          </w:p>
        </w:tc>
      </w:tr>
      <w:tr w:rsidR="00553851" w14:paraId="7435AB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9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F277C" w14:textId="77777777" w:rsidR="00553851" w:rsidRDefault="00553851">
            <w:pPr>
              <w:pStyle w:val="ListParagraph"/>
              <w:ind w:left="0"/>
              <w:rPr>
                <w:rFonts w:ascii="Century" w:hAnsi="Century"/>
                <w:b/>
              </w:rPr>
            </w:pPr>
          </w:p>
          <w:p w14:paraId="565A7013" w14:textId="77777777" w:rsidR="00553851" w:rsidRDefault="006917A9">
            <w:pPr>
              <w:pStyle w:val="ListParagraph"/>
              <w:numPr>
                <w:ilvl w:val="0"/>
                <w:numId w:val="2"/>
              </w:numPr>
              <w:ind w:left="360"/>
              <w:jc w:val="both"/>
              <w:rPr>
                <w:rFonts w:ascii="Century" w:hAnsi="Century"/>
                <w:b/>
                <w:bCs/>
              </w:rPr>
            </w:pPr>
            <w:r>
              <w:rPr>
                <w:rFonts w:ascii="Century" w:hAnsi="Century"/>
                <w:b/>
              </w:rPr>
              <w:t xml:space="preserve">Comprehensive ILA </w:t>
            </w:r>
            <w:r>
              <w:rPr>
                <w:rFonts w:ascii="Century" w:hAnsi="Century"/>
                <w:b/>
                <w:lang w:val="en-US"/>
              </w:rPr>
              <w:t>C</w:t>
            </w:r>
            <w:proofErr w:type="spellStart"/>
            <w:r>
              <w:rPr>
                <w:rFonts w:ascii="Century" w:hAnsi="Century"/>
                <w:b/>
                <w:bCs/>
              </w:rPr>
              <w:t>urriculum</w:t>
            </w:r>
            <w:proofErr w:type="spellEnd"/>
            <w:r>
              <w:rPr>
                <w:rFonts w:ascii="Century" w:hAnsi="Century"/>
                <w:b/>
                <w:bCs/>
              </w:rPr>
              <w:t xml:space="preserve"> </w:t>
            </w:r>
          </w:p>
          <w:p w14:paraId="668A734C" w14:textId="77777777" w:rsidR="00553851" w:rsidRDefault="006917A9">
            <w:pPr>
              <w:pStyle w:val="ListParagraph"/>
              <w:numPr>
                <w:ilvl w:val="0"/>
                <w:numId w:val="3"/>
              </w:numPr>
              <w:ind w:left="360"/>
              <w:jc w:val="both"/>
              <w:rPr>
                <w:rFonts w:ascii="Century" w:hAnsi="Century"/>
                <w:b/>
              </w:rPr>
            </w:pPr>
            <w:r>
              <w:rPr>
                <w:rFonts w:ascii="Century" w:hAnsi="Century"/>
                <w:b/>
                <w:bCs/>
              </w:rPr>
              <w:t xml:space="preserve">That </w:t>
            </w:r>
            <w:r>
              <w:rPr>
                <w:rFonts w:ascii="Century" w:hAnsi="Century"/>
                <w:b/>
                <w:bCs/>
              </w:rPr>
              <w:t>integrates elements of integrity in leadership.</w:t>
            </w:r>
          </w:p>
          <w:p w14:paraId="6876281D" w14:textId="77777777" w:rsidR="00553851" w:rsidRDefault="006917A9">
            <w:pPr>
              <w:pStyle w:val="ListParagraph"/>
              <w:ind w:left="360"/>
              <w:jc w:val="both"/>
              <w:rPr>
                <w:rFonts w:ascii="Century" w:hAnsi="Century"/>
              </w:rPr>
            </w:pPr>
            <w:r>
              <w:rPr>
                <w:rFonts w:ascii="Century" w:hAnsi="Century"/>
              </w:rPr>
              <w:t>The ILA curriculum is expected to include aspects on how the select candidates can develop their integrity by:</w:t>
            </w:r>
          </w:p>
          <w:p w14:paraId="17EDC3E5" w14:textId="77777777" w:rsidR="00553851" w:rsidRDefault="006917A9">
            <w:pPr>
              <w:pStyle w:val="ListParagraph"/>
              <w:numPr>
                <w:ilvl w:val="0"/>
                <w:numId w:val="4"/>
              </w:numPr>
              <w:jc w:val="both"/>
              <w:rPr>
                <w:rFonts w:ascii="Century" w:hAnsi="Century"/>
              </w:rPr>
            </w:pPr>
            <w:r>
              <w:rPr>
                <w:rFonts w:ascii="Century" w:hAnsi="Century"/>
              </w:rPr>
              <w:t xml:space="preserve">Knowing their values and their followers’ values. What they stand for and having a keen understanding of their followers’ values, perceptions, and expectations. </w:t>
            </w:r>
          </w:p>
          <w:p w14:paraId="1780D620" w14:textId="77777777" w:rsidR="00553851" w:rsidRDefault="006917A9">
            <w:pPr>
              <w:pStyle w:val="ListParagraph"/>
              <w:numPr>
                <w:ilvl w:val="0"/>
                <w:numId w:val="4"/>
              </w:numPr>
              <w:jc w:val="both"/>
              <w:rPr>
                <w:rFonts w:ascii="Century" w:hAnsi="Century"/>
              </w:rPr>
            </w:pPr>
            <w:r>
              <w:rPr>
                <w:rFonts w:ascii="Century" w:hAnsi="Century"/>
              </w:rPr>
              <w:t>Acting with integrity- enhance their understanding on the values that augment their integrity, gender responsiveness status such as leading by example, being disciplined values driven and incorruptible among others.</w:t>
            </w:r>
          </w:p>
          <w:p w14:paraId="44A34A5D" w14:textId="77777777" w:rsidR="00553851" w:rsidRDefault="006917A9">
            <w:pPr>
              <w:pStyle w:val="ListParagraph"/>
              <w:numPr>
                <w:ilvl w:val="0"/>
                <w:numId w:val="4"/>
              </w:numPr>
              <w:jc w:val="both"/>
              <w:rPr>
                <w:rFonts w:ascii="Century" w:hAnsi="Century"/>
              </w:rPr>
            </w:pPr>
            <w:r>
              <w:rPr>
                <w:rFonts w:ascii="Century" w:hAnsi="Century"/>
              </w:rPr>
              <w:t>Building their reputation- the curriculum should articulate how candidates build trust and can make amends where they have erred and damaged the trust their followers had in them.</w:t>
            </w:r>
          </w:p>
          <w:p w14:paraId="4768A93A" w14:textId="77777777" w:rsidR="00553851" w:rsidRDefault="006917A9">
            <w:pPr>
              <w:pStyle w:val="ListParagraph"/>
              <w:numPr>
                <w:ilvl w:val="0"/>
                <w:numId w:val="4"/>
              </w:numPr>
              <w:jc w:val="both"/>
              <w:rPr>
                <w:rFonts w:ascii="Century" w:hAnsi="Century"/>
                <w:b/>
              </w:rPr>
            </w:pPr>
            <w:r>
              <w:rPr>
                <w:rFonts w:ascii="Century" w:hAnsi="Century"/>
              </w:rPr>
              <w:t xml:space="preserve">Promote gender responsive leadership by enabling equal opportunity to men and women for leadership. </w:t>
            </w:r>
          </w:p>
          <w:p w14:paraId="1530EEF0" w14:textId="77777777" w:rsidR="00553851" w:rsidRDefault="006917A9">
            <w:pPr>
              <w:pStyle w:val="ListParagraph"/>
              <w:numPr>
                <w:ilvl w:val="0"/>
                <w:numId w:val="3"/>
              </w:numPr>
              <w:ind w:left="360"/>
              <w:jc w:val="both"/>
              <w:rPr>
                <w:rFonts w:ascii="Century" w:hAnsi="Century"/>
                <w:b/>
                <w:bCs/>
              </w:rPr>
            </w:pPr>
            <w:r>
              <w:rPr>
                <w:rFonts w:ascii="Century" w:hAnsi="Century"/>
                <w:b/>
                <w:bCs/>
              </w:rPr>
              <w:t>That recognizes the value of democracy, good governance, and human rights:</w:t>
            </w:r>
          </w:p>
          <w:p w14:paraId="114B3100" w14:textId="77777777" w:rsidR="00553851" w:rsidRDefault="006917A9">
            <w:pPr>
              <w:pStyle w:val="ListParagraph"/>
              <w:ind w:left="360"/>
              <w:rPr>
                <w:rFonts w:ascii="Century" w:hAnsi="Century"/>
              </w:rPr>
            </w:pPr>
            <w:r>
              <w:rPr>
                <w:rFonts w:ascii="Century" w:hAnsi="Century"/>
              </w:rPr>
              <w:t xml:space="preserve">The ILA curriculum will be </w:t>
            </w:r>
            <w:r>
              <w:rPr>
                <w:rFonts w:ascii="Century" w:hAnsi="Century"/>
              </w:rPr>
              <w:t>developed with an emphasis on:</w:t>
            </w:r>
          </w:p>
          <w:p w14:paraId="0CA38F3D" w14:textId="77777777" w:rsidR="00553851" w:rsidRDefault="006917A9">
            <w:pPr>
              <w:pStyle w:val="ListParagraph"/>
              <w:numPr>
                <w:ilvl w:val="0"/>
                <w:numId w:val="5"/>
              </w:numPr>
              <w:rPr>
                <w:rFonts w:ascii="Century" w:hAnsi="Century"/>
              </w:rPr>
            </w:pPr>
            <w:r>
              <w:rPr>
                <w:rFonts w:ascii="Century" w:hAnsi="Century"/>
              </w:rPr>
              <w:t xml:space="preserve">Best practices that the select candidates can adopt to push for democracy and good governance systems. </w:t>
            </w:r>
          </w:p>
          <w:p w14:paraId="79BAE083" w14:textId="77777777" w:rsidR="00553851" w:rsidRDefault="006917A9">
            <w:pPr>
              <w:pStyle w:val="ListParagraph"/>
              <w:numPr>
                <w:ilvl w:val="0"/>
                <w:numId w:val="5"/>
              </w:numPr>
              <w:rPr>
                <w:rFonts w:ascii="Century" w:hAnsi="Century"/>
              </w:rPr>
            </w:pPr>
            <w:r>
              <w:rPr>
                <w:rFonts w:ascii="Century" w:hAnsi="Century"/>
              </w:rPr>
              <w:t>Enhancing the candidate’s appreciation on the importance of strengthening the rule of law and upholding human rights by advocating for tolerance and respect.</w:t>
            </w:r>
          </w:p>
          <w:p w14:paraId="1143FB20" w14:textId="77777777" w:rsidR="00553851" w:rsidRDefault="006917A9">
            <w:pPr>
              <w:pStyle w:val="ListParagraph"/>
              <w:numPr>
                <w:ilvl w:val="0"/>
                <w:numId w:val="3"/>
              </w:numPr>
              <w:ind w:left="360"/>
              <w:jc w:val="both"/>
              <w:rPr>
                <w:rFonts w:ascii="Century" w:hAnsi="Century"/>
                <w:b/>
                <w:bCs/>
              </w:rPr>
            </w:pPr>
            <w:r>
              <w:rPr>
                <w:rFonts w:ascii="Century" w:hAnsi="Century"/>
                <w:b/>
                <w:bCs/>
                <w:lang w:val="en-US"/>
              </w:rPr>
              <w:t>T</w:t>
            </w:r>
            <w:r>
              <w:rPr>
                <w:rFonts w:ascii="Century" w:hAnsi="Century"/>
                <w:b/>
                <w:bCs/>
              </w:rPr>
              <w:t xml:space="preserve">hat is Gender Mainstreamed  </w:t>
            </w:r>
          </w:p>
          <w:p w14:paraId="7805C613" w14:textId="77777777" w:rsidR="00553851" w:rsidRDefault="006917A9">
            <w:pPr>
              <w:pStyle w:val="ListParagraph"/>
              <w:ind w:left="360"/>
              <w:rPr>
                <w:rFonts w:ascii="Century" w:hAnsi="Century"/>
              </w:rPr>
            </w:pPr>
            <w:r>
              <w:rPr>
                <w:rFonts w:ascii="Century" w:hAnsi="Century"/>
              </w:rPr>
              <w:t>To ensure that the ILA curriculum is gender mainstreamed, emphasis will be laid out on:</w:t>
            </w:r>
          </w:p>
          <w:p w14:paraId="108CC3BC" w14:textId="77777777" w:rsidR="00553851" w:rsidRDefault="006917A9">
            <w:pPr>
              <w:pStyle w:val="ListParagraph"/>
              <w:numPr>
                <w:ilvl w:val="0"/>
                <w:numId w:val="6"/>
              </w:numPr>
              <w:jc w:val="both"/>
              <w:rPr>
                <w:rFonts w:ascii="Century" w:hAnsi="Century"/>
              </w:rPr>
            </w:pPr>
            <w:r>
              <w:rPr>
                <w:rFonts w:ascii="Century" w:hAnsi="Century"/>
              </w:rPr>
              <w:t xml:space="preserve">Individual steps the candidates can take to actively promote gender equality, including countering gender stereotypes, integrating gender sensitive language, all with an aim of pushing for social norms change. </w:t>
            </w:r>
          </w:p>
          <w:p w14:paraId="033DCE74" w14:textId="77777777" w:rsidR="00553851" w:rsidRDefault="006917A9">
            <w:pPr>
              <w:pStyle w:val="ListParagraph"/>
              <w:numPr>
                <w:ilvl w:val="0"/>
                <w:numId w:val="6"/>
              </w:numPr>
              <w:jc w:val="both"/>
              <w:rPr>
                <w:rFonts w:ascii="Century" w:hAnsi="Century"/>
              </w:rPr>
            </w:pPr>
            <w:r>
              <w:rPr>
                <w:rFonts w:ascii="Century" w:hAnsi="Century"/>
              </w:rPr>
              <w:lastRenderedPageBreak/>
              <w:t>Institutional steps to take to push for gender equality including establishing the right conditions to enable others to successfully deliver their duties.</w:t>
            </w:r>
          </w:p>
          <w:p w14:paraId="7525F2BB" w14:textId="77777777" w:rsidR="00553851" w:rsidRDefault="006917A9">
            <w:pPr>
              <w:pStyle w:val="ListParagraph"/>
              <w:numPr>
                <w:ilvl w:val="0"/>
                <w:numId w:val="6"/>
              </w:numPr>
              <w:jc w:val="both"/>
              <w:rPr>
                <w:rFonts w:ascii="Century" w:hAnsi="Century"/>
                <w:b/>
                <w:bCs/>
              </w:rPr>
            </w:pPr>
            <w:r>
              <w:rPr>
                <w:rFonts w:ascii="Century" w:hAnsi="Century"/>
              </w:rPr>
              <w:t xml:space="preserve">National obligations towards achieving gender equality including auditing legislations and policies in place and pushing for necessary amends towards achieving gender equality. </w:t>
            </w:r>
          </w:p>
          <w:p w14:paraId="4BDDF1C9" w14:textId="77777777" w:rsidR="00553851" w:rsidRDefault="006917A9">
            <w:pPr>
              <w:pStyle w:val="ListParagraph"/>
              <w:numPr>
                <w:ilvl w:val="0"/>
                <w:numId w:val="3"/>
              </w:numPr>
              <w:ind w:left="360"/>
              <w:jc w:val="both"/>
              <w:rPr>
                <w:rFonts w:ascii="Century" w:hAnsi="Century"/>
                <w:b/>
                <w:bCs/>
                <w:lang w:val="en-US"/>
              </w:rPr>
            </w:pPr>
            <w:r>
              <w:rPr>
                <w:rFonts w:ascii="Century" w:hAnsi="Century"/>
                <w:b/>
                <w:bCs/>
                <w:lang w:val="en-US"/>
              </w:rPr>
              <w:t>That is Articulative</w:t>
            </w:r>
          </w:p>
          <w:p w14:paraId="1C91948C" w14:textId="77777777" w:rsidR="00553851" w:rsidRDefault="006917A9">
            <w:pPr>
              <w:pStyle w:val="ListParagraph"/>
              <w:ind w:left="360"/>
              <w:jc w:val="both"/>
              <w:rPr>
                <w:rFonts w:ascii="Century" w:hAnsi="Century"/>
                <w:lang w:val="en-US"/>
              </w:rPr>
            </w:pPr>
            <w:r>
              <w:rPr>
                <w:rFonts w:ascii="Century" w:hAnsi="Century"/>
                <w:lang w:val="en-US"/>
              </w:rPr>
              <w:t xml:space="preserve">The ILA curriculum is expected </w:t>
            </w:r>
            <w:proofErr w:type="gramStart"/>
            <w:r>
              <w:rPr>
                <w:rFonts w:ascii="Century" w:hAnsi="Century"/>
                <w:lang w:val="en-US"/>
              </w:rPr>
              <w:t>to</w:t>
            </w:r>
            <w:proofErr w:type="gramEnd"/>
            <w:r>
              <w:rPr>
                <w:rFonts w:ascii="Century" w:hAnsi="Century"/>
                <w:lang w:val="en-US"/>
              </w:rPr>
              <w:t xml:space="preserve"> clearly articulate:</w:t>
            </w:r>
          </w:p>
          <w:p w14:paraId="17FC8140" w14:textId="77777777" w:rsidR="00553851" w:rsidRDefault="006917A9">
            <w:pPr>
              <w:pStyle w:val="ListParagraph"/>
              <w:numPr>
                <w:ilvl w:val="1"/>
                <w:numId w:val="1"/>
              </w:numPr>
              <w:jc w:val="both"/>
              <w:rPr>
                <w:rFonts w:ascii="Century" w:hAnsi="Century"/>
                <w:lang w:val="en-US"/>
              </w:rPr>
            </w:pPr>
            <w:r>
              <w:rPr>
                <w:rFonts w:ascii="Century" w:hAnsi="Century"/>
                <w:lang w:val="en-US"/>
              </w:rPr>
              <w:t>The criteria for admission into the IGAD Leadership Academy</w:t>
            </w:r>
          </w:p>
          <w:p w14:paraId="4CF7252D" w14:textId="77777777" w:rsidR="00553851" w:rsidRDefault="006917A9">
            <w:pPr>
              <w:pStyle w:val="ListParagraph"/>
              <w:numPr>
                <w:ilvl w:val="1"/>
                <w:numId w:val="1"/>
              </w:numPr>
              <w:jc w:val="both"/>
              <w:rPr>
                <w:rFonts w:ascii="Century" w:hAnsi="Century"/>
                <w:lang w:val="en-US"/>
              </w:rPr>
            </w:pPr>
            <w:r>
              <w:rPr>
                <w:rFonts w:ascii="Century" w:hAnsi="Century"/>
                <w:lang w:val="en-US"/>
              </w:rPr>
              <w:t>The costing and duration to undertake the leadership course at the IGAD Leadership Academy</w:t>
            </w:r>
          </w:p>
          <w:p w14:paraId="405A20A4" w14:textId="77777777" w:rsidR="00553851" w:rsidRDefault="00553851">
            <w:pPr>
              <w:pStyle w:val="ListParagraph"/>
              <w:ind w:left="360"/>
              <w:jc w:val="both"/>
              <w:rPr>
                <w:rFonts w:ascii="Century" w:hAnsi="Century"/>
                <w:lang w:val="en-US"/>
              </w:rPr>
            </w:pPr>
          </w:p>
          <w:p w14:paraId="5CA2FFA1" w14:textId="77777777" w:rsidR="00553851" w:rsidRDefault="00553851">
            <w:pPr>
              <w:pStyle w:val="ListParagraph"/>
              <w:ind w:left="360"/>
              <w:jc w:val="both"/>
              <w:rPr>
                <w:rFonts w:ascii="Century" w:hAnsi="Century"/>
                <w:lang w:val="en-US"/>
              </w:rPr>
            </w:pPr>
          </w:p>
        </w:tc>
      </w:tr>
      <w:tr w:rsidR="00553851" w14:paraId="3C2F71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3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9FAF901" w14:textId="77777777" w:rsidR="00553851" w:rsidRDefault="006917A9">
            <w:pPr>
              <w:pStyle w:val="ListParagraph"/>
              <w:ind w:left="0"/>
              <w:jc w:val="both"/>
              <w:rPr>
                <w:rFonts w:ascii="Century" w:hAnsi="Century"/>
              </w:rPr>
            </w:pPr>
            <w:r>
              <w:rPr>
                <w:rFonts w:ascii="Century" w:hAnsi="Century" w:cs="Arial"/>
                <w:b/>
                <w:bCs/>
                <w:color w:val="000000" w:themeColor="text1"/>
                <w:sz w:val="22"/>
                <w:szCs w:val="22"/>
                <w:lang w:val="en-US"/>
              </w:rPr>
              <w:lastRenderedPageBreak/>
              <w:t>V</w:t>
            </w:r>
            <w:r>
              <w:rPr>
                <w:rFonts w:ascii="Century" w:hAnsi="Century" w:cs="Arial"/>
                <w:b/>
                <w:bCs/>
                <w:sz w:val="22"/>
                <w:szCs w:val="22"/>
              </w:rPr>
              <w:t xml:space="preserve">I. REQUIRED </w:t>
            </w:r>
            <w:r>
              <w:rPr>
                <w:rFonts w:ascii="Century" w:hAnsi="Century" w:cs="Arial"/>
                <w:b/>
                <w:bCs/>
                <w:sz w:val="22"/>
                <w:szCs w:val="22"/>
                <w:lang w:val="en-US"/>
              </w:rPr>
              <w:t>Q</w:t>
            </w:r>
            <w:r>
              <w:rPr>
                <w:rFonts w:ascii="Century" w:hAnsi="Century" w:cs="Arial"/>
                <w:b/>
                <w:bCs/>
                <w:sz w:val="22"/>
                <w:szCs w:val="22"/>
              </w:rPr>
              <w:t xml:space="preserve">UALIFICATIONS </w:t>
            </w:r>
          </w:p>
        </w:tc>
      </w:tr>
      <w:tr w:rsidR="00553851" w14:paraId="2E9642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9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06408" w14:textId="77777777" w:rsidR="00553851" w:rsidRDefault="006917A9">
            <w:pPr>
              <w:pStyle w:val="ListParagraph"/>
              <w:spacing w:after="160" w:line="259" w:lineRule="auto"/>
              <w:ind w:left="0"/>
              <w:jc w:val="both"/>
              <w:rPr>
                <w:rFonts w:ascii="Century" w:hAnsi="Century"/>
                <w:b/>
                <w:bCs/>
              </w:rPr>
            </w:pPr>
            <w:r>
              <w:rPr>
                <w:rFonts w:ascii="Century" w:hAnsi="Century"/>
                <w:b/>
                <w:bCs/>
              </w:rPr>
              <w:t xml:space="preserve">Educational Qualification </w:t>
            </w:r>
          </w:p>
          <w:p w14:paraId="0CAA482C" w14:textId="77777777" w:rsidR="00553851" w:rsidRDefault="006917A9">
            <w:pPr>
              <w:pStyle w:val="ListParagraph"/>
              <w:numPr>
                <w:ilvl w:val="0"/>
                <w:numId w:val="7"/>
              </w:numPr>
              <w:tabs>
                <w:tab w:val="clear" w:pos="420"/>
                <w:tab w:val="left" w:pos="1680"/>
              </w:tabs>
              <w:spacing w:after="160" w:line="259" w:lineRule="auto"/>
              <w:jc w:val="both"/>
              <w:rPr>
                <w:rFonts w:ascii="Century" w:hAnsi="Century"/>
              </w:rPr>
            </w:pPr>
            <w:r>
              <w:rPr>
                <w:rFonts w:ascii="Century" w:hAnsi="Century"/>
              </w:rPr>
              <w:t xml:space="preserve">PhD in </w:t>
            </w:r>
            <w:r>
              <w:rPr>
                <w:rFonts w:ascii="Century" w:hAnsi="Century"/>
                <w:lang w:val="en-US"/>
              </w:rPr>
              <w:t>S</w:t>
            </w:r>
            <w:proofErr w:type="spellStart"/>
            <w:r>
              <w:rPr>
                <w:rFonts w:ascii="Century" w:hAnsi="Century"/>
              </w:rPr>
              <w:t>ocial</w:t>
            </w:r>
            <w:proofErr w:type="spellEnd"/>
            <w:r>
              <w:rPr>
                <w:rFonts w:ascii="Century" w:hAnsi="Century"/>
              </w:rPr>
              <w:t xml:space="preserve"> </w:t>
            </w:r>
            <w:r>
              <w:rPr>
                <w:rFonts w:ascii="Century" w:hAnsi="Century"/>
                <w:lang w:val="en-US"/>
              </w:rPr>
              <w:t>S</w:t>
            </w:r>
            <w:proofErr w:type="spellStart"/>
            <w:r>
              <w:rPr>
                <w:rFonts w:ascii="Century" w:hAnsi="Century"/>
              </w:rPr>
              <w:t>tudies</w:t>
            </w:r>
            <w:proofErr w:type="spellEnd"/>
            <w:r>
              <w:rPr>
                <w:rFonts w:ascii="Century" w:hAnsi="Century"/>
              </w:rPr>
              <w:t xml:space="preserve"> and/or other relevant fields from reputable universities </w:t>
            </w:r>
          </w:p>
          <w:p w14:paraId="7B9F7B7A" w14:textId="77777777" w:rsidR="00553851" w:rsidRDefault="006917A9">
            <w:pPr>
              <w:pStyle w:val="ListParagraph"/>
              <w:spacing w:after="160" w:line="259" w:lineRule="auto"/>
              <w:ind w:left="0"/>
              <w:jc w:val="both"/>
              <w:rPr>
                <w:rFonts w:ascii="Century" w:hAnsi="Century"/>
                <w:lang w:val="en-US"/>
              </w:rPr>
            </w:pPr>
            <w:r>
              <w:rPr>
                <w:rFonts w:ascii="Century" w:hAnsi="Century"/>
                <w:b/>
                <w:bCs/>
              </w:rPr>
              <w:t>Proven experience in</w:t>
            </w:r>
            <w:r>
              <w:rPr>
                <w:rFonts w:ascii="Century" w:hAnsi="Century"/>
                <w:b/>
                <w:bCs/>
                <w:lang w:val="en-US"/>
              </w:rPr>
              <w:t>:</w:t>
            </w:r>
          </w:p>
          <w:p w14:paraId="3050F0B2" w14:textId="77777777" w:rsidR="00553851" w:rsidRDefault="006917A9">
            <w:pPr>
              <w:pStyle w:val="ListParagraph"/>
              <w:numPr>
                <w:ilvl w:val="0"/>
                <w:numId w:val="8"/>
              </w:numPr>
              <w:spacing w:after="160" w:line="259" w:lineRule="auto"/>
              <w:jc w:val="both"/>
              <w:rPr>
                <w:rFonts w:ascii="Century" w:hAnsi="Century"/>
              </w:rPr>
            </w:pPr>
            <w:r>
              <w:rPr>
                <w:rFonts w:ascii="Century" w:hAnsi="Century"/>
                <w:lang w:val="en-US"/>
              </w:rPr>
              <w:t>C</w:t>
            </w:r>
            <w:proofErr w:type="spellStart"/>
            <w:r>
              <w:rPr>
                <w:rFonts w:ascii="Century" w:hAnsi="Century"/>
              </w:rPr>
              <w:t>urriculum</w:t>
            </w:r>
            <w:proofErr w:type="spellEnd"/>
            <w:r>
              <w:rPr>
                <w:rFonts w:ascii="Century" w:hAnsi="Century"/>
              </w:rPr>
              <w:t xml:space="preserve"> development at both </w:t>
            </w:r>
            <w:r>
              <w:rPr>
                <w:rFonts w:ascii="Century" w:hAnsi="Century"/>
                <w:lang w:val="en-US"/>
              </w:rPr>
              <w:t>u</w:t>
            </w:r>
            <w:proofErr w:type="spellStart"/>
            <w:r>
              <w:rPr>
                <w:rFonts w:ascii="Century" w:hAnsi="Century"/>
              </w:rPr>
              <w:t>niversity</w:t>
            </w:r>
            <w:proofErr w:type="spellEnd"/>
            <w:r>
              <w:rPr>
                <w:rFonts w:ascii="Century" w:hAnsi="Century"/>
              </w:rPr>
              <w:t xml:space="preserve"> and executive education levels.</w:t>
            </w:r>
          </w:p>
          <w:p w14:paraId="2C2EB142"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 xml:space="preserve">Have </w:t>
            </w:r>
            <w:r>
              <w:rPr>
                <w:rFonts w:ascii="Century" w:hAnsi="Century"/>
                <w:lang w:val="en-US"/>
              </w:rPr>
              <w:t>s</w:t>
            </w:r>
            <w:proofErr w:type="spellStart"/>
            <w:r>
              <w:rPr>
                <w:rFonts w:ascii="Century" w:hAnsi="Century"/>
              </w:rPr>
              <w:t>ubstantive</w:t>
            </w:r>
            <w:proofErr w:type="spellEnd"/>
            <w:r>
              <w:rPr>
                <w:rFonts w:ascii="Century" w:hAnsi="Century"/>
              </w:rPr>
              <w:t xml:space="preserve"> experience as a leadership development practitioner and advisor at a senior level.</w:t>
            </w:r>
          </w:p>
          <w:p w14:paraId="16530D97"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Have served in a senior leadership position with a continental exposure with evidence of interest and contribution in Africa leadership, governance, and management.</w:t>
            </w:r>
          </w:p>
          <w:p w14:paraId="0B3D20D1"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Have served in government panels and task forces to promote governance, innovation or gender and inclusion mainstreaming.</w:t>
            </w:r>
          </w:p>
          <w:p w14:paraId="4320A5ED"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Demonstrated ability to lobby senior Africa leadership to support governance initiatives.</w:t>
            </w:r>
          </w:p>
          <w:p w14:paraId="568A512F"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In-depth knowledge of and experience of applying relevant research, methodologies and approaches related to leadership development.</w:t>
            </w:r>
          </w:p>
          <w:p w14:paraId="13595AFC"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Experience from gender equality work/</w:t>
            </w:r>
            <w:r>
              <w:rPr>
                <w:rFonts w:ascii="Century" w:hAnsi="Century"/>
                <w:lang w:val="en-US"/>
              </w:rPr>
              <w:t xml:space="preserve">gender </w:t>
            </w:r>
            <w:r>
              <w:rPr>
                <w:rFonts w:ascii="Century" w:hAnsi="Century"/>
              </w:rPr>
              <w:t xml:space="preserve">mainstreaming and </w:t>
            </w:r>
            <w:r>
              <w:rPr>
                <w:rFonts w:ascii="Century" w:hAnsi="Century"/>
                <w:lang w:val="en-US"/>
              </w:rPr>
              <w:t xml:space="preserve">working with ensuring inclusion and diversity in </w:t>
            </w:r>
            <w:proofErr w:type="gramStart"/>
            <w:r>
              <w:rPr>
                <w:rFonts w:ascii="Century" w:hAnsi="Century"/>
                <w:lang w:val="en-US"/>
              </w:rPr>
              <w:t xml:space="preserve">processes </w:t>
            </w:r>
            <w:r>
              <w:rPr>
                <w:rFonts w:ascii="Century" w:hAnsi="Century"/>
              </w:rPr>
              <w:t>.</w:t>
            </w:r>
            <w:proofErr w:type="gramEnd"/>
          </w:p>
          <w:p w14:paraId="66042007"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Experience in change management initiatives and supporting/leading cultural changes.</w:t>
            </w:r>
          </w:p>
          <w:p w14:paraId="474DAC5F"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Excellent interpersonal, teaming and communication skills, with the ability to establish and nurture effective working relationships in a multi-cultural, multi-disciplinary, and complex environment.</w:t>
            </w:r>
          </w:p>
          <w:p w14:paraId="09DA8DB5" w14:textId="77777777" w:rsidR="00553851" w:rsidRDefault="006917A9">
            <w:pPr>
              <w:pStyle w:val="ListParagraph"/>
              <w:numPr>
                <w:ilvl w:val="0"/>
                <w:numId w:val="8"/>
              </w:numPr>
              <w:spacing w:after="160" w:line="259" w:lineRule="auto"/>
              <w:jc w:val="both"/>
              <w:rPr>
                <w:rFonts w:ascii="Century" w:hAnsi="Century"/>
              </w:rPr>
            </w:pPr>
            <w:r>
              <w:rPr>
                <w:rFonts w:ascii="Century" w:hAnsi="Century"/>
              </w:rPr>
              <w:t>Excellent written and oral communication, editing, and reporting skills in English.</w:t>
            </w:r>
          </w:p>
          <w:p w14:paraId="207B2063" w14:textId="77777777" w:rsidR="00553851" w:rsidRDefault="00553851">
            <w:pPr>
              <w:pStyle w:val="ListParagraph"/>
              <w:spacing w:after="160" w:line="259" w:lineRule="auto"/>
              <w:ind w:left="0"/>
              <w:jc w:val="both"/>
              <w:rPr>
                <w:rFonts w:ascii="Century" w:hAnsi="Century"/>
              </w:rPr>
            </w:pPr>
          </w:p>
        </w:tc>
      </w:tr>
      <w:tr w:rsidR="00553851" w14:paraId="69F3D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3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57AFAC9" w14:textId="77777777" w:rsidR="00553851" w:rsidRDefault="006917A9">
            <w:pPr>
              <w:pStyle w:val="ListParagraph"/>
              <w:spacing w:line="260" w:lineRule="auto"/>
              <w:ind w:left="0"/>
              <w:jc w:val="both"/>
              <w:rPr>
                <w:rFonts w:ascii="Century" w:hAnsi="Century"/>
                <w:b/>
                <w:bCs/>
                <w:lang w:val="en-US"/>
              </w:rPr>
            </w:pPr>
            <w:r>
              <w:rPr>
                <w:rFonts w:ascii="Century" w:hAnsi="Century"/>
                <w:b/>
                <w:bCs/>
                <w:shd w:val="clear" w:color="auto" w:fill="A8D08D" w:themeFill="accent6" w:themeFillTint="99"/>
                <w:lang w:val="en-US"/>
              </w:rPr>
              <w:t>APPLICATION PROCESS</w:t>
            </w:r>
          </w:p>
        </w:tc>
      </w:tr>
      <w:tr w:rsidR="00553851" w14:paraId="2ACFE9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9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75620" w14:textId="77777777" w:rsidR="00553851" w:rsidRDefault="006917A9">
            <w:pPr>
              <w:pStyle w:val="ListParagraph"/>
              <w:spacing w:line="260" w:lineRule="auto"/>
              <w:ind w:left="0"/>
              <w:jc w:val="both"/>
              <w:rPr>
                <w:rFonts w:ascii="Century" w:hAnsi="Century"/>
                <w:lang w:val="en-US"/>
              </w:rPr>
            </w:pPr>
            <w:r>
              <w:rPr>
                <w:rFonts w:ascii="Century" w:hAnsi="Century"/>
                <w:lang w:val="en-US"/>
              </w:rPr>
              <w:lastRenderedPageBreak/>
              <w:t xml:space="preserve">Interested and qualified consultants should submit their applications to </w:t>
            </w:r>
            <w:hyperlink r:id="rId8" w:history="1">
              <w:r>
                <w:rPr>
                  <w:rStyle w:val="Hyperlink"/>
                  <w:rFonts w:ascii="Century" w:hAnsi="Century"/>
                  <w:lang w:val="en-US"/>
                </w:rPr>
                <w:t>procurement@igad.int</w:t>
              </w:r>
            </w:hyperlink>
            <w:r>
              <w:rPr>
                <w:rFonts w:ascii="Century" w:hAnsi="Century"/>
                <w:lang w:val="en-US"/>
              </w:rPr>
              <w:t xml:space="preserve"> and copy </w:t>
            </w:r>
            <w:hyperlink r:id="rId9" w:history="1">
              <w:r>
                <w:rPr>
                  <w:rStyle w:val="Hyperlink"/>
                  <w:rFonts w:ascii="Century" w:hAnsi="Century"/>
                  <w:lang w:val="en-US"/>
                </w:rPr>
                <w:t>ila@igad.int</w:t>
              </w:r>
            </w:hyperlink>
            <w:r>
              <w:rPr>
                <w:rFonts w:ascii="Century" w:hAnsi="Century"/>
                <w:lang w:val="en-US"/>
              </w:rPr>
              <w:t xml:space="preserve"> with the subject line: </w:t>
            </w:r>
            <w:r>
              <w:rPr>
                <w:rFonts w:ascii="Century" w:hAnsi="Century" w:cs="Arial"/>
                <w:b/>
                <w:bCs/>
                <w:color w:val="000000"/>
              </w:rPr>
              <w:t>ILA</w:t>
            </w:r>
            <w:r>
              <w:rPr>
                <w:rFonts w:ascii="Century" w:hAnsi="Century" w:cs="Arial"/>
                <w:b/>
                <w:bCs/>
                <w:color w:val="000000"/>
                <w:lang w:val="en-US"/>
              </w:rPr>
              <w:t xml:space="preserve"> Curriculum Development Consultancy </w:t>
            </w:r>
            <w:r>
              <w:rPr>
                <w:rFonts w:ascii="Century" w:hAnsi="Century" w:cs="Arial"/>
                <w:color w:val="000000"/>
                <w:lang w:val="en-US"/>
              </w:rPr>
              <w:t xml:space="preserve">on or before </w:t>
            </w:r>
            <w:r>
              <w:rPr>
                <w:rFonts w:ascii="Century" w:hAnsi="Century" w:cs="Arial"/>
                <w:b/>
                <w:bCs/>
                <w:color w:val="000000"/>
                <w:lang w:val="en-US"/>
              </w:rPr>
              <w:t>15</w:t>
            </w:r>
            <w:r>
              <w:rPr>
                <w:rFonts w:ascii="Century" w:hAnsi="Century" w:cs="Arial"/>
                <w:b/>
                <w:bCs/>
                <w:color w:val="000000"/>
                <w:vertAlign w:val="superscript"/>
                <w:lang w:val="en-US"/>
              </w:rPr>
              <w:t>th</w:t>
            </w:r>
            <w:r>
              <w:rPr>
                <w:rFonts w:ascii="Century" w:hAnsi="Century" w:cs="Arial"/>
                <w:b/>
                <w:bCs/>
                <w:color w:val="000000"/>
                <w:lang w:val="en-US"/>
              </w:rPr>
              <w:t xml:space="preserve"> October 2023</w:t>
            </w:r>
            <w:r>
              <w:rPr>
                <w:rFonts w:ascii="Century" w:hAnsi="Century" w:cs="Arial"/>
                <w:color w:val="000000"/>
                <w:lang w:val="en-US"/>
              </w:rPr>
              <w:t>.</w:t>
            </w:r>
          </w:p>
        </w:tc>
      </w:tr>
    </w:tbl>
    <w:p w14:paraId="053C138F" w14:textId="77777777" w:rsidR="00553851" w:rsidRDefault="00553851">
      <w:pPr>
        <w:rPr>
          <w:rFonts w:ascii="Century" w:hAnsi="Century"/>
          <w:sz w:val="22"/>
          <w:szCs w:val="22"/>
        </w:rPr>
      </w:pPr>
    </w:p>
    <w:p w14:paraId="6CC7178F" w14:textId="77777777" w:rsidR="00553851" w:rsidRDefault="00553851">
      <w:pPr>
        <w:rPr>
          <w:rFonts w:ascii="Century" w:hAnsi="Century"/>
          <w:sz w:val="22"/>
          <w:szCs w:val="22"/>
        </w:rPr>
      </w:pPr>
    </w:p>
    <w:p w14:paraId="2CDFB526" w14:textId="77777777" w:rsidR="00553851" w:rsidRDefault="00553851">
      <w:pPr>
        <w:rPr>
          <w:rFonts w:ascii="Century" w:hAnsi="Century"/>
          <w:sz w:val="22"/>
          <w:szCs w:val="22"/>
        </w:rPr>
      </w:pPr>
    </w:p>
    <w:sectPr w:rsidR="0055385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0A17" w14:textId="77777777" w:rsidR="00553851" w:rsidRDefault="006917A9">
      <w:r>
        <w:separator/>
      </w:r>
    </w:p>
  </w:endnote>
  <w:endnote w:type="continuationSeparator" w:id="0">
    <w:p w14:paraId="20855C24" w14:textId="77777777" w:rsidR="00553851" w:rsidRDefault="0069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default"/>
  </w:font>
  <w:font w:name="Arial Unicode MS">
    <w:altName w:val="Yu Gothic"/>
    <w:panose1 w:val="020B0604020202020204"/>
    <w:charset w:val="80"/>
    <w:family w:val="swiss"/>
    <w:pitch w:val="default"/>
    <w:sig w:usb0="00000000" w:usb1="00000000" w:usb2="00000000" w:usb3="00000000" w:csb0="003E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36B6" w14:textId="77777777" w:rsidR="00553851" w:rsidRDefault="006917A9">
    <w:pPr>
      <w:pStyle w:val="Footer"/>
    </w:pPr>
    <w:r>
      <w:rPr>
        <w:noProof/>
      </w:rPr>
      <mc:AlternateContent>
        <mc:Choice Requires="wps">
          <w:drawing>
            <wp:anchor distT="0" distB="0" distL="114300" distR="114300" simplePos="0" relativeHeight="251659264" behindDoc="0" locked="0" layoutInCell="1" allowOverlap="1" wp14:anchorId="611F493E" wp14:editId="0849B1C2">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517FA" w14:textId="77777777" w:rsidR="00553851" w:rsidRDefault="006917A9">
                          <w:pPr>
                            <w:pStyle w:val="Footer"/>
                            <w:rPr>
                              <w:rFonts w:ascii="Century" w:eastAsia="Century" w:hAnsi="Century" w:cs="Century"/>
                            </w:rPr>
                          </w:pPr>
                          <w:r>
                            <w:rPr>
                              <w:rFonts w:ascii="Century" w:eastAsia="Century" w:hAnsi="Century" w:cs="Century" w:hint="eastAsia"/>
                            </w:rPr>
                            <w:t xml:space="preserve">Page </w:t>
                          </w:r>
                          <w:r>
                            <w:rPr>
                              <w:rFonts w:ascii="Century" w:eastAsia="Century" w:hAnsi="Century" w:cs="Century" w:hint="eastAsia"/>
                            </w:rPr>
                            <w:fldChar w:fldCharType="begin"/>
                          </w:r>
                          <w:r>
                            <w:rPr>
                              <w:rFonts w:ascii="Century" w:eastAsia="Century" w:hAnsi="Century" w:cs="Century" w:hint="eastAsia"/>
                            </w:rPr>
                            <w:instrText xml:space="preserve"> PAGE  \* MERGEFORMAT </w:instrText>
                          </w:r>
                          <w:r>
                            <w:rPr>
                              <w:rFonts w:ascii="Century" w:eastAsia="Century" w:hAnsi="Century" w:cs="Century" w:hint="eastAsia"/>
                            </w:rPr>
                            <w:fldChar w:fldCharType="separate"/>
                          </w:r>
                          <w:r>
                            <w:rPr>
                              <w:rFonts w:ascii="Century" w:eastAsia="Century" w:hAnsi="Century" w:cs="Century" w:hint="eastAsia"/>
                            </w:rPr>
                            <w:t>1</w:t>
                          </w:r>
                          <w:r>
                            <w:rPr>
                              <w:rFonts w:ascii="Century" w:eastAsia="Century" w:hAnsi="Century" w:cs="Century" w:hint="eastAsia"/>
                            </w:rPr>
                            <w:fldChar w:fldCharType="end"/>
                          </w:r>
                          <w:r>
                            <w:rPr>
                              <w:rFonts w:ascii="Century" w:eastAsia="Century" w:hAnsi="Century" w:cs="Century" w:hint="eastAsia"/>
                            </w:rPr>
                            <w:t xml:space="preserve"> of </w:t>
                          </w:r>
                          <w:r>
                            <w:rPr>
                              <w:rFonts w:ascii="Century" w:eastAsia="Century" w:hAnsi="Century" w:cs="Century" w:hint="eastAsia"/>
                            </w:rPr>
                            <w:fldChar w:fldCharType="begin"/>
                          </w:r>
                          <w:r>
                            <w:rPr>
                              <w:rFonts w:ascii="Century" w:eastAsia="Century" w:hAnsi="Century" w:cs="Century" w:hint="eastAsia"/>
                            </w:rPr>
                            <w:instrText xml:space="preserve"> NUMPAGES  \* MERGEFORMAT </w:instrText>
                          </w:r>
                          <w:r>
                            <w:rPr>
                              <w:rFonts w:ascii="Century" w:eastAsia="Century" w:hAnsi="Century" w:cs="Century" w:hint="eastAsia"/>
                            </w:rPr>
                            <w:fldChar w:fldCharType="separate"/>
                          </w:r>
                          <w:r>
                            <w:rPr>
                              <w:rFonts w:ascii="Century" w:eastAsia="Century" w:hAnsi="Century" w:cs="Century" w:hint="eastAsia"/>
                            </w:rPr>
                            <w:t>6</w:t>
                          </w:r>
                          <w:r>
                            <w:rPr>
                              <w:rFonts w:ascii="Century" w:eastAsia="Century" w:hAnsi="Century" w:cs="Century"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1j2cSIQIAAGAEAAAOAAAAAAAAAAEAIAAAADUBAABkcnMvZTJvRG9jLnht&#10;bFBLBQYAAAAABgAGAFkBAADIBQAAAAA=&#10;">
              <v:fill on="f" focussize="0,0"/>
              <v:stroke on="f" weight="0.5pt"/>
              <v:imagedata o:title=""/>
              <o:lock v:ext="edit" aspectratio="f"/>
              <v:textbox inset="0mm,0mm,0mm,0mm" style="mso-fit-shape-to-text:t;">
                <w:txbxContent>
                  <w:p>
                    <w:pPr>
                      <w:pStyle w:val="9"/>
                      <w:rPr>
                        <w:rFonts w:hint="eastAsia" w:ascii="Century" w:hAnsi="Century" w:eastAsia="Century" w:cs="Century"/>
                      </w:rPr>
                    </w:pPr>
                    <w:r>
                      <w:rPr>
                        <w:rFonts w:hint="eastAsia" w:ascii="Century" w:hAnsi="Century" w:eastAsia="Century" w:cs="Century"/>
                      </w:rPr>
                      <w:t xml:space="preserve">Page </w:t>
                    </w:r>
                    <w:r>
                      <w:rPr>
                        <w:rFonts w:hint="eastAsia" w:ascii="Century" w:hAnsi="Century" w:eastAsia="Century" w:cs="Century"/>
                      </w:rPr>
                      <w:fldChar w:fldCharType="begin"/>
                    </w:r>
                    <w:r>
                      <w:rPr>
                        <w:rFonts w:hint="eastAsia" w:ascii="Century" w:hAnsi="Century" w:eastAsia="Century" w:cs="Century"/>
                      </w:rPr>
                      <w:instrText xml:space="preserve"> PAGE  \* MERGEFORMAT </w:instrText>
                    </w:r>
                    <w:r>
                      <w:rPr>
                        <w:rFonts w:hint="eastAsia" w:ascii="Century" w:hAnsi="Century" w:eastAsia="Century" w:cs="Century"/>
                      </w:rPr>
                      <w:fldChar w:fldCharType="separate"/>
                    </w:r>
                    <w:r>
                      <w:rPr>
                        <w:rFonts w:hint="eastAsia" w:ascii="Century" w:hAnsi="Century" w:eastAsia="Century" w:cs="Century"/>
                      </w:rPr>
                      <w:t>1</w:t>
                    </w:r>
                    <w:r>
                      <w:rPr>
                        <w:rFonts w:hint="eastAsia" w:ascii="Century" w:hAnsi="Century" w:eastAsia="Century" w:cs="Century"/>
                      </w:rPr>
                      <w:fldChar w:fldCharType="end"/>
                    </w:r>
                    <w:r>
                      <w:rPr>
                        <w:rFonts w:hint="eastAsia" w:ascii="Century" w:hAnsi="Century" w:eastAsia="Century" w:cs="Century"/>
                      </w:rPr>
                      <w:t xml:space="preserve"> of </w:t>
                    </w:r>
                    <w:r>
                      <w:rPr>
                        <w:rFonts w:hint="eastAsia" w:ascii="Century" w:hAnsi="Century" w:eastAsia="Century" w:cs="Century"/>
                      </w:rPr>
                      <w:fldChar w:fldCharType="begin"/>
                    </w:r>
                    <w:r>
                      <w:rPr>
                        <w:rFonts w:hint="eastAsia" w:ascii="Century" w:hAnsi="Century" w:eastAsia="Century" w:cs="Century"/>
                      </w:rPr>
                      <w:instrText xml:space="preserve"> NUMPAGES  \* MERGEFORMAT </w:instrText>
                    </w:r>
                    <w:r>
                      <w:rPr>
                        <w:rFonts w:hint="eastAsia" w:ascii="Century" w:hAnsi="Century" w:eastAsia="Century" w:cs="Century"/>
                      </w:rPr>
                      <w:fldChar w:fldCharType="separate"/>
                    </w:r>
                    <w:r>
                      <w:rPr>
                        <w:rFonts w:hint="eastAsia" w:ascii="Century" w:hAnsi="Century" w:eastAsia="Century" w:cs="Century"/>
                      </w:rPr>
                      <w:t>6</w:t>
                    </w:r>
                    <w:r>
                      <w:rPr>
                        <w:rFonts w:hint="eastAsia" w:ascii="Century" w:hAnsi="Century" w:eastAsia="Century" w:cs="Century"/>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315F" w14:textId="77777777" w:rsidR="00553851" w:rsidRDefault="006917A9">
      <w:r>
        <w:separator/>
      </w:r>
    </w:p>
  </w:footnote>
  <w:footnote w:type="continuationSeparator" w:id="0">
    <w:p w14:paraId="3A3FFB39" w14:textId="77777777" w:rsidR="00553851" w:rsidRDefault="0069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71C9" w14:textId="77777777" w:rsidR="00553851" w:rsidRDefault="006917A9">
    <w:pPr>
      <w:pStyle w:val="Header"/>
      <w:jc w:val="center"/>
      <w:rPr>
        <w:rFonts w:asciiTheme="minorHAnsi" w:hAnsiTheme="minorHAnsi"/>
      </w:rPr>
    </w:pPr>
    <w:r>
      <w:rPr>
        <w:rFonts w:asciiTheme="minorHAnsi" w:hAnsiTheme="minorHAnsi"/>
        <w:noProof/>
      </w:rPr>
      <w:drawing>
        <wp:inline distT="0" distB="0" distL="0" distR="0" wp14:anchorId="5F5A3ABE" wp14:editId="238C86E2">
          <wp:extent cx="923925" cy="923925"/>
          <wp:effectExtent l="0" t="0" r="15875" b="15875"/>
          <wp:docPr id="4" name="Image 0" descr="IG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0" descr="IGAD logo.jpg"/>
                  <pic:cNvPicPr>
                    <a:picLocks noChangeAspect="1"/>
                  </pic:cNvPicPr>
                </pic:nvPicPr>
                <pic:blipFill>
                  <a:blip r:embed="rId1" cstate="print"/>
                  <a:stretch>
                    <a:fillRect/>
                  </a:stretch>
                </pic:blipFill>
                <pic:spPr>
                  <a:xfrm>
                    <a:off x="0" y="0"/>
                    <a:ext cx="930273" cy="930273"/>
                  </a:xfrm>
                  <a:prstGeom prst="rect">
                    <a:avLst/>
                  </a:prstGeom>
                </pic:spPr>
              </pic:pic>
            </a:graphicData>
          </a:graphic>
        </wp:inline>
      </w:drawing>
    </w:r>
  </w:p>
  <w:p w14:paraId="1DF6FC32" w14:textId="77777777" w:rsidR="00553851" w:rsidRDefault="006917A9">
    <w:pPr>
      <w:pStyle w:val="Header"/>
      <w:jc w:val="center"/>
      <w:rPr>
        <w:rFonts w:ascii="Century" w:eastAsia="Century" w:hAnsi="Century" w:cs="Century"/>
        <w:b/>
        <w:bCs/>
      </w:rPr>
    </w:pPr>
    <w:r>
      <w:rPr>
        <w:rFonts w:ascii="Century" w:eastAsia="Century" w:hAnsi="Century" w:cs="Century" w:hint="eastAsia"/>
        <w:b/>
        <w:bCs/>
      </w:rPr>
      <w:t>IGAD LEADERSHIP ACADEMY (ILA)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B7E629"/>
    <w:multiLevelType w:val="singleLevel"/>
    <w:tmpl w:val="D9B7E62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9DC081C"/>
    <w:multiLevelType w:val="singleLevel"/>
    <w:tmpl w:val="D9DC081C"/>
    <w:lvl w:ilvl="0">
      <w:start w:val="1"/>
      <w:numFmt w:val="lowerLetter"/>
      <w:suff w:val="space"/>
      <w:lvlText w:val="%1)"/>
      <w:lvlJc w:val="left"/>
    </w:lvl>
  </w:abstractNum>
  <w:abstractNum w:abstractNumId="2" w15:restartNumberingAfterBreak="0">
    <w:nsid w:val="F7CD5E5F"/>
    <w:multiLevelType w:val="singleLevel"/>
    <w:tmpl w:val="F7CD5E5F"/>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ADAB064"/>
    <w:multiLevelType w:val="singleLevel"/>
    <w:tmpl w:val="FADAB064"/>
    <w:lvl w:ilvl="0">
      <w:start w:val="1"/>
      <w:numFmt w:val="upperRoman"/>
      <w:suff w:val="space"/>
      <w:lvlText w:val="%1."/>
      <w:lvlJc w:val="left"/>
    </w:lvl>
  </w:abstractNum>
  <w:abstractNum w:abstractNumId="4" w15:restartNumberingAfterBreak="0">
    <w:nsid w:val="FEFC0623"/>
    <w:multiLevelType w:val="singleLevel"/>
    <w:tmpl w:val="FEFC0623"/>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FFF36EF"/>
    <w:multiLevelType w:val="singleLevel"/>
    <w:tmpl w:val="FFFF36EF"/>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34B11840"/>
    <w:multiLevelType w:val="multilevel"/>
    <w:tmpl w:val="34B118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99B17B"/>
    <w:multiLevelType w:val="singleLevel"/>
    <w:tmpl w:val="7799B17B"/>
    <w:lvl w:ilvl="0">
      <w:start w:val="1"/>
      <w:numFmt w:val="bullet"/>
      <w:lvlText w:val=""/>
      <w:lvlJc w:val="left"/>
      <w:pPr>
        <w:tabs>
          <w:tab w:val="left" w:pos="420"/>
        </w:tabs>
        <w:ind w:left="420" w:hanging="420"/>
      </w:pPr>
      <w:rPr>
        <w:rFonts w:ascii="Wingdings" w:hAnsi="Wingdings" w:hint="default"/>
      </w:rPr>
    </w:lvl>
  </w:abstractNum>
  <w:num w:numId="1" w16cid:durableId="1172454359">
    <w:abstractNumId w:val="6"/>
  </w:num>
  <w:num w:numId="2" w16cid:durableId="860439577">
    <w:abstractNumId w:val="3"/>
  </w:num>
  <w:num w:numId="3" w16cid:durableId="1672180828">
    <w:abstractNumId w:val="1"/>
  </w:num>
  <w:num w:numId="4" w16cid:durableId="1905945242">
    <w:abstractNumId w:val="5"/>
  </w:num>
  <w:num w:numId="5" w16cid:durableId="276720846">
    <w:abstractNumId w:val="4"/>
  </w:num>
  <w:num w:numId="6" w16cid:durableId="678852063">
    <w:abstractNumId w:val="0"/>
  </w:num>
  <w:num w:numId="7" w16cid:durableId="1162427708">
    <w:abstractNumId w:val="2"/>
  </w:num>
  <w:num w:numId="8" w16cid:durableId="327294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MzEzNDe3sDCwNDZX0lEKTi0uzszPAykwqgUATq3CZCwAAAA="/>
  </w:docVars>
  <w:rsids>
    <w:rsidRoot w:val="00664D25"/>
    <w:rsid w:val="FBFB0C7D"/>
    <w:rsid w:val="FF69ADA2"/>
    <w:rsid w:val="00004FE0"/>
    <w:rsid w:val="0002651C"/>
    <w:rsid w:val="00042861"/>
    <w:rsid w:val="00056BD9"/>
    <w:rsid w:val="00057A5F"/>
    <w:rsid w:val="000627AA"/>
    <w:rsid w:val="000702A8"/>
    <w:rsid w:val="00070E98"/>
    <w:rsid w:val="00076EF0"/>
    <w:rsid w:val="00081091"/>
    <w:rsid w:val="00090F3D"/>
    <w:rsid w:val="00096447"/>
    <w:rsid w:val="00097FA4"/>
    <w:rsid w:val="000B119F"/>
    <w:rsid w:val="000E5F2F"/>
    <w:rsid w:val="000E796B"/>
    <w:rsid w:val="000F1C93"/>
    <w:rsid w:val="000F4326"/>
    <w:rsid w:val="00103440"/>
    <w:rsid w:val="0010749E"/>
    <w:rsid w:val="00122E52"/>
    <w:rsid w:val="001357C0"/>
    <w:rsid w:val="00136823"/>
    <w:rsid w:val="001465FD"/>
    <w:rsid w:val="00162519"/>
    <w:rsid w:val="00167E13"/>
    <w:rsid w:val="001743ED"/>
    <w:rsid w:val="00180A16"/>
    <w:rsid w:val="00191EEC"/>
    <w:rsid w:val="001B1C45"/>
    <w:rsid w:val="001C6B9D"/>
    <w:rsid w:val="001D72B9"/>
    <w:rsid w:val="0023345D"/>
    <w:rsid w:val="0026793F"/>
    <w:rsid w:val="002916D7"/>
    <w:rsid w:val="002A08E7"/>
    <w:rsid w:val="002A4B94"/>
    <w:rsid w:val="002B54D2"/>
    <w:rsid w:val="002D76B1"/>
    <w:rsid w:val="002E6388"/>
    <w:rsid w:val="0030210B"/>
    <w:rsid w:val="00336CD2"/>
    <w:rsid w:val="0035773A"/>
    <w:rsid w:val="00362839"/>
    <w:rsid w:val="003A3C8B"/>
    <w:rsid w:val="003B232B"/>
    <w:rsid w:val="003D0A9C"/>
    <w:rsid w:val="003D0B31"/>
    <w:rsid w:val="003E1D4E"/>
    <w:rsid w:val="00400168"/>
    <w:rsid w:val="0040708D"/>
    <w:rsid w:val="004300F2"/>
    <w:rsid w:val="0047454A"/>
    <w:rsid w:val="0047551A"/>
    <w:rsid w:val="004A1485"/>
    <w:rsid w:val="004C4F2A"/>
    <w:rsid w:val="004D01E4"/>
    <w:rsid w:val="004F0ED0"/>
    <w:rsid w:val="00521BDF"/>
    <w:rsid w:val="00543FC7"/>
    <w:rsid w:val="0054504E"/>
    <w:rsid w:val="00553851"/>
    <w:rsid w:val="00580A7B"/>
    <w:rsid w:val="00582ADF"/>
    <w:rsid w:val="00625E57"/>
    <w:rsid w:val="00636FF5"/>
    <w:rsid w:val="00664D25"/>
    <w:rsid w:val="00667A07"/>
    <w:rsid w:val="006904D4"/>
    <w:rsid w:val="006917A9"/>
    <w:rsid w:val="00691E36"/>
    <w:rsid w:val="006C5617"/>
    <w:rsid w:val="006C7826"/>
    <w:rsid w:val="006E0C15"/>
    <w:rsid w:val="00726AB6"/>
    <w:rsid w:val="00767445"/>
    <w:rsid w:val="00776415"/>
    <w:rsid w:val="007A33B0"/>
    <w:rsid w:val="007B0619"/>
    <w:rsid w:val="007BCF13"/>
    <w:rsid w:val="007D3099"/>
    <w:rsid w:val="007D7963"/>
    <w:rsid w:val="00806C43"/>
    <w:rsid w:val="0082387F"/>
    <w:rsid w:val="00832C4B"/>
    <w:rsid w:val="008513F0"/>
    <w:rsid w:val="00852049"/>
    <w:rsid w:val="0085306F"/>
    <w:rsid w:val="00855F18"/>
    <w:rsid w:val="0086485A"/>
    <w:rsid w:val="00874FC5"/>
    <w:rsid w:val="0088152C"/>
    <w:rsid w:val="008B335C"/>
    <w:rsid w:val="008B575D"/>
    <w:rsid w:val="008B65C7"/>
    <w:rsid w:val="008E0992"/>
    <w:rsid w:val="008E1553"/>
    <w:rsid w:val="00921997"/>
    <w:rsid w:val="009277CC"/>
    <w:rsid w:val="00954427"/>
    <w:rsid w:val="00972144"/>
    <w:rsid w:val="00981403"/>
    <w:rsid w:val="009C3401"/>
    <w:rsid w:val="009D6D6E"/>
    <w:rsid w:val="009E3208"/>
    <w:rsid w:val="009E7FA4"/>
    <w:rsid w:val="009F4E67"/>
    <w:rsid w:val="009F6480"/>
    <w:rsid w:val="00A71088"/>
    <w:rsid w:val="00A849D8"/>
    <w:rsid w:val="00A91CBA"/>
    <w:rsid w:val="00A97991"/>
    <w:rsid w:val="00B062DA"/>
    <w:rsid w:val="00B15DA4"/>
    <w:rsid w:val="00B43647"/>
    <w:rsid w:val="00B4652C"/>
    <w:rsid w:val="00B93CFB"/>
    <w:rsid w:val="00BB4148"/>
    <w:rsid w:val="00BB6922"/>
    <w:rsid w:val="00BBD664"/>
    <w:rsid w:val="00BD2533"/>
    <w:rsid w:val="00BD3226"/>
    <w:rsid w:val="00BE7364"/>
    <w:rsid w:val="00BF1AFC"/>
    <w:rsid w:val="00C073D5"/>
    <w:rsid w:val="00C114BA"/>
    <w:rsid w:val="00C30336"/>
    <w:rsid w:val="00C4079D"/>
    <w:rsid w:val="00C61CB2"/>
    <w:rsid w:val="00CA0636"/>
    <w:rsid w:val="00CB7E6D"/>
    <w:rsid w:val="00CD1040"/>
    <w:rsid w:val="00CF4D81"/>
    <w:rsid w:val="00D12A7D"/>
    <w:rsid w:val="00D258AE"/>
    <w:rsid w:val="00D33798"/>
    <w:rsid w:val="00D504BA"/>
    <w:rsid w:val="00D5654C"/>
    <w:rsid w:val="00D75A41"/>
    <w:rsid w:val="00D77B42"/>
    <w:rsid w:val="00D80E65"/>
    <w:rsid w:val="00D84C16"/>
    <w:rsid w:val="00D91961"/>
    <w:rsid w:val="00DA7F1A"/>
    <w:rsid w:val="00DB10D8"/>
    <w:rsid w:val="00DD2215"/>
    <w:rsid w:val="00DD2507"/>
    <w:rsid w:val="00E163AC"/>
    <w:rsid w:val="00E61B68"/>
    <w:rsid w:val="00E81BF1"/>
    <w:rsid w:val="00E836F4"/>
    <w:rsid w:val="00EC3CF0"/>
    <w:rsid w:val="00ED709F"/>
    <w:rsid w:val="00EE0309"/>
    <w:rsid w:val="00EF18F5"/>
    <w:rsid w:val="00F23144"/>
    <w:rsid w:val="00F353FA"/>
    <w:rsid w:val="00F36937"/>
    <w:rsid w:val="00F41E2E"/>
    <w:rsid w:val="00F9452A"/>
    <w:rsid w:val="00FA464D"/>
    <w:rsid w:val="00FD3A1D"/>
    <w:rsid w:val="00FE7CAE"/>
    <w:rsid w:val="019C8196"/>
    <w:rsid w:val="03064E28"/>
    <w:rsid w:val="03CAFA2A"/>
    <w:rsid w:val="07546D9E"/>
    <w:rsid w:val="07FD888A"/>
    <w:rsid w:val="0839FF90"/>
    <w:rsid w:val="0915726C"/>
    <w:rsid w:val="0A700B77"/>
    <w:rsid w:val="0A869019"/>
    <w:rsid w:val="0AB52132"/>
    <w:rsid w:val="0BD1CEED"/>
    <w:rsid w:val="0BEA6057"/>
    <w:rsid w:val="0CA0B101"/>
    <w:rsid w:val="0CFF7D63"/>
    <w:rsid w:val="0DB83627"/>
    <w:rsid w:val="0DC86487"/>
    <w:rsid w:val="0DE6CC55"/>
    <w:rsid w:val="0EA095F4"/>
    <w:rsid w:val="0ECD690D"/>
    <w:rsid w:val="0F540688"/>
    <w:rsid w:val="0F829CB6"/>
    <w:rsid w:val="10ED102A"/>
    <w:rsid w:val="12A1151B"/>
    <w:rsid w:val="1341B649"/>
    <w:rsid w:val="1393500A"/>
    <w:rsid w:val="1534B5B7"/>
    <w:rsid w:val="162F592F"/>
    <w:rsid w:val="16A19971"/>
    <w:rsid w:val="18FD33B8"/>
    <w:rsid w:val="19ABBCBD"/>
    <w:rsid w:val="1A5F11E0"/>
    <w:rsid w:val="1A9C99E8"/>
    <w:rsid w:val="1AF18F7B"/>
    <w:rsid w:val="1B972D03"/>
    <w:rsid w:val="1BDE49E9"/>
    <w:rsid w:val="1D5F126B"/>
    <w:rsid w:val="1DE099F1"/>
    <w:rsid w:val="1F298741"/>
    <w:rsid w:val="209CC37D"/>
    <w:rsid w:val="21D91016"/>
    <w:rsid w:val="2292F389"/>
    <w:rsid w:val="22DAB645"/>
    <w:rsid w:val="240BD5BE"/>
    <w:rsid w:val="24260BC4"/>
    <w:rsid w:val="261AF58E"/>
    <w:rsid w:val="27884464"/>
    <w:rsid w:val="27D01131"/>
    <w:rsid w:val="27DEEF7A"/>
    <w:rsid w:val="297ABFDB"/>
    <w:rsid w:val="29B4AAFC"/>
    <w:rsid w:val="2AA7A7A6"/>
    <w:rsid w:val="2BE5A7DA"/>
    <w:rsid w:val="2D91B5A1"/>
    <w:rsid w:val="2E3F52B5"/>
    <w:rsid w:val="30146341"/>
    <w:rsid w:val="30CE4153"/>
    <w:rsid w:val="31B033A2"/>
    <w:rsid w:val="31D04317"/>
    <w:rsid w:val="327A5200"/>
    <w:rsid w:val="32EEEC93"/>
    <w:rsid w:val="331854D0"/>
    <w:rsid w:val="3530879D"/>
    <w:rsid w:val="35864124"/>
    <w:rsid w:val="35F3C29A"/>
    <w:rsid w:val="369B12A4"/>
    <w:rsid w:val="3770FCCA"/>
    <w:rsid w:val="38982342"/>
    <w:rsid w:val="38E3CE05"/>
    <w:rsid w:val="3A7A3792"/>
    <w:rsid w:val="3B8CFE61"/>
    <w:rsid w:val="3BB7E8C8"/>
    <w:rsid w:val="3D22EE53"/>
    <w:rsid w:val="3D2DF774"/>
    <w:rsid w:val="3D554023"/>
    <w:rsid w:val="3D7E7594"/>
    <w:rsid w:val="3D886DB0"/>
    <w:rsid w:val="3DE4EEAB"/>
    <w:rsid w:val="3E1A0104"/>
    <w:rsid w:val="3E834CA0"/>
    <w:rsid w:val="3FA4684A"/>
    <w:rsid w:val="400812AF"/>
    <w:rsid w:val="40679C07"/>
    <w:rsid w:val="4138CE77"/>
    <w:rsid w:val="41A3E310"/>
    <w:rsid w:val="41EC7B36"/>
    <w:rsid w:val="4267B1D7"/>
    <w:rsid w:val="4428AF24"/>
    <w:rsid w:val="4472DE75"/>
    <w:rsid w:val="451151A0"/>
    <w:rsid w:val="457026E8"/>
    <w:rsid w:val="4721C7DC"/>
    <w:rsid w:val="483D8676"/>
    <w:rsid w:val="4858B434"/>
    <w:rsid w:val="48BCF718"/>
    <w:rsid w:val="48CF38A6"/>
    <w:rsid w:val="49752C4D"/>
    <w:rsid w:val="4AA74B93"/>
    <w:rsid w:val="4BA46294"/>
    <w:rsid w:val="4C51700B"/>
    <w:rsid w:val="4CF815F6"/>
    <w:rsid w:val="4D286578"/>
    <w:rsid w:val="4EDBBDBA"/>
    <w:rsid w:val="5043CDE9"/>
    <w:rsid w:val="518B32FF"/>
    <w:rsid w:val="5313F701"/>
    <w:rsid w:val="535C7812"/>
    <w:rsid w:val="53AC1189"/>
    <w:rsid w:val="54219388"/>
    <w:rsid w:val="558251C3"/>
    <w:rsid w:val="56432439"/>
    <w:rsid w:val="5653E66A"/>
    <w:rsid w:val="56B7E5C9"/>
    <w:rsid w:val="571E2224"/>
    <w:rsid w:val="571FB5BB"/>
    <w:rsid w:val="5752CEAC"/>
    <w:rsid w:val="5781402C"/>
    <w:rsid w:val="57DC64E4"/>
    <w:rsid w:val="5817D01E"/>
    <w:rsid w:val="58B9F285"/>
    <w:rsid w:val="5A55C2E6"/>
    <w:rsid w:val="5ADF06AA"/>
    <w:rsid w:val="5B254B15"/>
    <w:rsid w:val="5B599A38"/>
    <w:rsid w:val="5C2D0A83"/>
    <w:rsid w:val="5DC875CE"/>
    <w:rsid w:val="5E28BC1F"/>
    <w:rsid w:val="5EBA2D39"/>
    <w:rsid w:val="5F8948E4"/>
    <w:rsid w:val="5F9085C1"/>
    <w:rsid w:val="5F9CB026"/>
    <w:rsid w:val="5FAFD01D"/>
    <w:rsid w:val="60C168E8"/>
    <w:rsid w:val="615E528A"/>
    <w:rsid w:val="61ABFE4B"/>
    <w:rsid w:val="624544F1"/>
    <w:rsid w:val="62D5271C"/>
    <w:rsid w:val="62D8F83F"/>
    <w:rsid w:val="637424F9"/>
    <w:rsid w:val="662A815B"/>
    <w:rsid w:val="66A85FD2"/>
    <w:rsid w:val="676BC0AC"/>
    <w:rsid w:val="6B81936C"/>
    <w:rsid w:val="6B99BC71"/>
    <w:rsid w:val="6BA1D6F4"/>
    <w:rsid w:val="6D2C4216"/>
    <w:rsid w:val="6D549B78"/>
    <w:rsid w:val="6D637580"/>
    <w:rsid w:val="6DA3241D"/>
    <w:rsid w:val="6DAD088F"/>
    <w:rsid w:val="6DD5DD68"/>
    <w:rsid w:val="6E0EE158"/>
    <w:rsid w:val="6E58E028"/>
    <w:rsid w:val="6EE8A5DD"/>
    <w:rsid w:val="715FB5DA"/>
    <w:rsid w:val="71F0D4F0"/>
    <w:rsid w:val="7428CB77"/>
    <w:rsid w:val="744E085B"/>
    <w:rsid w:val="7492EA5C"/>
    <w:rsid w:val="7520BAFD"/>
    <w:rsid w:val="752BC004"/>
    <w:rsid w:val="771A5432"/>
    <w:rsid w:val="778F626E"/>
    <w:rsid w:val="7B332F49"/>
    <w:rsid w:val="7B80D6D5"/>
    <w:rsid w:val="7BB1E921"/>
    <w:rsid w:val="7BBF3A72"/>
    <w:rsid w:val="7BE61DB4"/>
    <w:rsid w:val="7C25B497"/>
    <w:rsid w:val="7CB18503"/>
    <w:rsid w:val="7E0AE0BA"/>
    <w:rsid w:val="7E64E0D3"/>
    <w:rsid w:val="7EB62F9B"/>
    <w:rsid w:val="7F453E37"/>
    <w:rsid w:val="7F6C3FDD"/>
    <w:rsid w:val="7F8F6043"/>
    <w:rsid w:val="7FCB63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51B4"/>
  <w15:docId w15:val="{6B0C1F47-63F6-42F6-8679-B896AFB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outlineLvl w:val="1"/>
    </w:pPr>
    <w:rPr>
      <w:rFonts w:ascii="Helvetica" w:eastAsia="Arial Unicode MS" w:hAnsi="Helvetica" w:cs="Arial Unicode MS"/>
      <w:b/>
      <w:bCs/>
      <w:color w:val="000000"/>
      <w:sz w:val="32"/>
      <w:szCs w:val="3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semiHidden/>
    <w:unhideWhenUsed/>
    <w:qFormat/>
    <w:pPr>
      <w:tabs>
        <w:tab w:val="center" w:pos="4536"/>
        <w:tab w:val="right" w:pos="9072"/>
      </w:tabs>
    </w:pPr>
  </w:style>
  <w:style w:type="character" w:styleId="FootnoteReference">
    <w:name w:val="footnote reference"/>
    <w:link w:val="Char2"/>
    <w:uiPriority w:val="99"/>
    <w:unhideWhenUsed/>
    <w:qFormat/>
    <w:rPr>
      <w:rFonts w:ascii="Calibri" w:eastAsia="Calibri" w:hAnsi="Calibri" w:cs="Arial"/>
      <w:vertAlign w:val="superscript"/>
      <w:lang w:val="en-US"/>
    </w:rPr>
  </w:style>
  <w:style w:type="paragraph" w:customStyle="1" w:styleId="Char2">
    <w:name w:val="Char2"/>
    <w:basedOn w:val="Normal"/>
    <w:link w:val="FootnoteReference"/>
    <w:uiPriority w:val="99"/>
    <w:qFormat/>
    <w:pPr>
      <w:widowControl w:val="0"/>
      <w:spacing w:before="120" w:after="200" w:line="240" w:lineRule="exact"/>
      <w:jc w:val="both"/>
    </w:pPr>
    <w:rPr>
      <w:rFonts w:ascii="Calibri" w:eastAsia="Calibri" w:hAnsi="Calibri" w:cs="Arial"/>
      <w:vertAlign w:val="superscript"/>
    </w:rPr>
  </w:style>
  <w:style w:type="paragraph" w:styleId="Header">
    <w:name w:val="header"/>
    <w:basedOn w:val="Normal"/>
    <w:link w:val="HeaderChar"/>
    <w:uiPriority w:val="99"/>
    <w:semiHidden/>
    <w:unhideWhenUsed/>
    <w:qFormat/>
    <w:pPr>
      <w:tabs>
        <w:tab w:val="center" w:pos="4536"/>
        <w:tab w:val="right" w:pos="9072"/>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lang w:val="en-GB"/>
    </w:rPr>
  </w:style>
  <w:style w:type="character" w:customStyle="1" w:styleId="ListParagraphChar">
    <w:name w:val="List Paragraph Char"/>
    <w:link w:val="ListParagraph"/>
    <w:uiPriority w:val="34"/>
    <w:qFormat/>
    <w:rPr>
      <w:lang w:val="en-GB"/>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lang w:val="en-US" w:eastAsia="en-US"/>
    </w:rPr>
  </w:style>
  <w:style w:type="character" w:customStyle="1" w:styleId="Heading2Char">
    <w:name w:val="Heading 2 Char"/>
    <w:basedOn w:val="DefaultParagraphFont"/>
    <w:link w:val="Heading2"/>
    <w:uiPriority w:val="9"/>
    <w:qFormat/>
    <w:rPr>
      <w:rFonts w:ascii="Helvetica" w:eastAsia="Arial Unicode MS" w:hAnsi="Helvetica" w:cs="Arial Unicode MS"/>
      <w:b/>
      <w:bCs/>
      <w:color w:val="000000"/>
      <w:sz w:val="32"/>
      <w:szCs w:val="32"/>
      <w:u w:color="000000"/>
      <w:lang w:val="en-US"/>
    </w:rPr>
  </w:style>
  <w:style w:type="paragraph" w:customStyle="1" w:styleId="BodyA">
    <w:name w:val="Body A"/>
    <w:qFormat/>
    <w:rPr>
      <w:rFonts w:ascii="Helvetica" w:eastAsia="Arial Unicode MS" w:hAnsi="Helvetica" w:cs="Arial Unicode MS"/>
      <w:color w:val="000000"/>
      <w:sz w:val="22"/>
      <w:szCs w:val="22"/>
      <w:u w:color="000000"/>
      <w:lang w:val="en-US" w:eastAsia="en-US"/>
    </w:rPr>
  </w:style>
  <w:style w:type="character" w:customStyle="1" w:styleId="None">
    <w:name w:val="None"/>
    <w:qFormat/>
  </w:style>
  <w:style w:type="paragraph" w:customStyle="1" w:styleId="Style2">
    <w:name w:val="Style2"/>
    <w:basedOn w:val="Heading1"/>
    <w:next w:val="Normal"/>
    <w:link w:val="Style2Char"/>
    <w:qFormat/>
    <w:pPr>
      <w:keepNext w:val="0"/>
      <w:keepLines w:val="0"/>
      <w:pBdr>
        <w:bottom w:val="thinThickSmallGap" w:sz="12" w:space="1" w:color="C45911" w:themeColor="accent2" w:themeShade="BF"/>
      </w:pBdr>
      <w:autoSpaceDE w:val="0"/>
      <w:autoSpaceDN w:val="0"/>
      <w:adjustRightInd w:val="0"/>
      <w:spacing w:before="400" w:after="60"/>
      <w:jc w:val="center"/>
    </w:pPr>
    <w:rPr>
      <w:rFonts w:ascii="Segoe UI" w:eastAsia="Times New Roman" w:hAnsi="Segoe UI" w:cs="Times New Roman"/>
      <w:b/>
      <w:bCs/>
      <w:caps/>
      <w:spacing w:val="20"/>
      <w:kern w:val="32"/>
      <w:sz w:val="24"/>
      <w:szCs w:val="28"/>
    </w:rPr>
  </w:style>
  <w:style w:type="character" w:customStyle="1" w:styleId="Style2Char">
    <w:name w:val="Style2 Char"/>
    <w:basedOn w:val="Heading1Char"/>
    <w:link w:val="Style2"/>
    <w:qFormat/>
    <w:rPr>
      <w:rFonts w:ascii="Segoe UI" w:eastAsia="Times New Roman" w:hAnsi="Segoe UI" w:cs="Times New Roman"/>
      <w:b/>
      <w:bCs/>
      <w:caps/>
      <w:color w:val="2F5496" w:themeColor="accent1" w:themeShade="BF"/>
      <w:spacing w:val="20"/>
      <w:kern w:val="32"/>
      <w:sz w:val="24"/>
      <w:szCs w:val="2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curement@igad.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a@iga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Mohyeldeen Taha</dc:creator>
  <cp:lastModifiedBy>Hodo Ainan</cp:lastModifiedBy>
  <cp:revision>2</cp:revision>
  <dcterms:created xsi:type="dcterms:W3CDTF">2023-09-14T10:24:00Z</dcterms:created>
  <dcterms:modified xsi:type="dcterms:W3CDTF">2023-09-14T10:24:00Z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0x010100B93632D952FB30488D2E4432AB3FDA12</vt:lpwstr>
  </property>
  <property fmtid="{D5CDD505-2E9C-101B-9397-08002B2CF9AE}" pid="3" name="MediaServiceImageTags">
    <vt:lpwstr/>
  </property>
  <property fmtid="{D5CDD505-2E9C-101B-9397-08002B2CF9AE}" pid="4" name="KSOProductBuildVer">
    <vt:lpwstr>1033-5.1.0.7912</vt:lpwstr>
  </property>
</Properties>
</file>